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38" w:rsidRPr="00532345" w:rsidRDefault="00532345" w:rsidP="00532345">
      <w:pPr>
        <w:shd w:val="clear" w:color="auto" w:fill="548DD4" w:themeFill="text2" w:themeFillTint="99"/>
        <w:jc w:val="center"/>
        <w:rPr>
          <w:b/>
          <w:color w:val="FFFFFF" w:themeColor="background1"/>
          <w:sz w:val="36"/>
        </w:rPr>
      </w:pPr>
      <w:r w:rsidRPr="00532345">
        <w:rPr>
          <w:b/>
          <w:color w:val="FFFFFF" w:themeColor="background1"/>
          <w:sz w:val="36"/>
        </w:rPr>
        <w:t>Mapping Evidence | Brainstorm</w:t>
      </w:r>
    </w:p>
    <w:p w:rsidR="002350CC" w:rsidRPr="009A0B93" w:rsidRDefault="002350CC" w:rsidP="002350CC">
      <w:pPr>
        <w:rPr>
          <w:sz w:val="4"/>
        </w:rPr>
      </w:pPr>
    </w:p>
    <w:p w:rsidR="00532345" w:rsidRDefault="00532345" w:rsidP="00532345">
      <w:pPr>
        <w:tabs>
          <w:tab w:val="left" w:pos="3495"/>
        </w:tabs>
        <w:rPr>
          <w:sz w:val="2"/>
        </w:rPr>
      </w:pPr>
    </w:p>
    <w:p w:rsidR="00532345" w:rsidRDefault="00532345" w:rsidP="00532345">
      <w:pPr>
        <w:rPr>
          <w:sz w:val="2"/>
        </w:rPr>
      </w:pPr>
    </w:p>
    <w:p w:rsidR="003D6D0D" w:rsidRPr="00532345" w:rsidRDefault="003D6D0D" w:rsidP="00532345">
      <w:pPr>
        <w:rPr>
          <w:rFonts w:eastAsia="Arial" w:cs="Arial"/>
          <w:b/>
          <w:sz w:val="2"/>
          <w:szCs w:val="16"/>
        </w:rPr>
      </w:pPr>
    </w:p>
    <w:tbl>
      <w:tblPr>
        <w:tblStyle w:val="TableGrid"/>
        <w:tblpPr w:leftFromText="180" w:rightFromText="180" w:vertAnchor="page" w:horzAnchor="margin" w:tblpY="1576"/>
        <w:tblW w:w="151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5"/>
        <w:gridCol w:w="3357"/>
        <w:gridCol w:w="3358"/>
        <w:gridCol w:w="3124"/>
        <w:gridCol w:w="3124"/>
      </w:tblGrid>
      <w:tr w:rsidR="009A0B93" w:rsidRPr="002350CC" w:rsidTr="009A0B93">
        <w:trPr>
          <w:trHeight w:val="356"/>
        </w:trPr>
        <w:tc>
          <w:tcPr>
            <w:tcW w:w="2235" w:type="dxa"/>
            <w:vMerge w:val="restart"/>
            <w:shd w:val="clear" w:color="auto" w:fill="548DD4" w:themeFill="text2" w:themeFillTint="99"/>
            <w:vAlign w:val="center"/>
          </w:tcPr>
          <w:p w:rsidR="009A0B93" w:rsidRPr="009A0B93" w:rsidRDefault="009A0B93" w:rsidP="009A0B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0B93">
              <w:rPr>
                <w:b/>
                <w:color w:val="FFFFFF" w:themeColor="background1"/>
                <w:sz w:val="28"/>
                <w:szCs w:val="28"/>
              </w:rPr>
              <w:t>Focus</w:t>
            </w:r>
          </w:p>
        </w:tc>
        <w:tc>
          <w:tcPr>
            <w:tcW w:w="3357" w:type="dxa"/>
            <w:vMerge w:val="restart"/>
            <w:shd w:val="clear" w:color="auto" w:fill="548DD4" w:themeFill="text2" w:themeFillTint="99"/>
            <w:vAlign w:val="center"/>
          </w:tcPr>
          <w:p w:rsidR="009A0B93" w:rsidRPr="009A0B93" w:rsidRDefault="009A0B93" w:rsidP="009A0B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0B93">
              <w:rPr>
                <w:b/>
                <w:color w:val="FFFFFF" w:themeColor="background1"/>
                <w:sz w:val="28"/>
                <w:szCs w:val="28"/>
              </w:rPr>
              <w:t>Highly Accomplished</w:t>
            </w:r>
          </w:p>
        </w:tc>
        <w:tc>
          <w:tcPr>
            <w:tcW w:w="3358" w:type="dxa"/>
            <w:vMerge w:val="restart"/>
            <w:shd w:val="clear" w:color="auto" w:fill="548DD4" w:themeFill="text2" w:themeFillTint="99"/>
            <w:vAlign w:val="center"/>
          </w:tcPr>
          <w:p w:rsidR="009A0B93" w:rsidRPr="009A0B93" w:rsidRDefault="009A0B93" w:rsidP="009A0B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0B93">
              <w:rPr>
                <w:b/>
                <w:color w:val="FFFFFF" w:themeColor="background1"/>
                <w:sz w:val="28"/>
                <w:szCs w:val="28"/>
              </w:rPr>
              <w:t>Lead</w:t>
            </w:r>
          </w:p>
        </w:tc>
        <w:tc>
          <w:tcPr>
            <w:tcW w:w="6248" w:type="dxa"/>
            <w:gridSpan w:val="2"/>
            <w:shd w:val="clear" w:color="auto" w:fill="548DD4" w:themeFill="text2" w:themeFillTint="99"/>
            <w:vAlign w:val="center"/>
          </w:tcPr>
          <w:p w:rsidR="009A0B93" w:rsidRPr="009A0B93" w:rsidRDefault="009A0B93" w:rsidP="009A0B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0B93">
              <w:rPr>
                <w:b/>
                <w:color w:val="FFFFFF" w:themeColor="background1"/>
                <w:sz w:val="28"/>
                <w:szCs w:val="28"/>
              </w:rPr>
              <w:t>Evidence: D</w:t>
            </w:r>
            <w:r w:rsidRPr="009A0B93">
              <w:rPr>
                <w:color w:val="FFFFFF" w:themeColor="background1"/>
                <w:sz w:val="28"/>
                <w:szCs w:val="28"/>
              </w:rPr>
              <w:t>ocumentary |</w:t>
            </w:r>
            <w:r w:rsidRPr="009A0B93">
              <w:rPr>
                <w:b/>
                <w:color w:val="FFFFFF" w:themeColor="background1"/>
                <w:sz w:val="28"/>
                <w:szCs w:val="28"/>
              </w:rPr>
              <w:t xml:space="preserve"> R</w:t>
            </w:r>
            <w:r w:rsidRPr="009A0B93">
              <w:rPr>
                <w:color w:val="FFFFFF" w:themeColor="background1"/>
                <w:sz w:val="28"/>
                <w:szCs w:val="28"/>
              </w:rPr>
              <w:t>eferee |</w:t>
            </w:r>
            <w:r w:rsidRPr="009A0B93">
              <w:rPr>
                <w:b/>
                <w:color w:val="FFFFFF" w:themeColor="background1"/>
                <w:sz w:val="28"/>
                <w:szCs w:val="28"/>
              </w:rPr>
              <w:t xml:space="preserve"> O</w:t>
            </w:r>
            <w:r w:rsidRPr="009A0B93">
              <w:rPr>
                <w:color w:val="FFFFFF" w:themeColor="background1"/>
                <w:sz w:val="28"/>
                <w:szCs w:val="28"/>
              </w:rPr>
              <w:t>bserver</w:t>
            </w:r>
          </w:p>
        </w:tc>
      </w:tr>
      <w:tr w:rsidR="009A0B93" w:rsidRPr="002350CC" w:rsidTr="009A0B93">
        <w:trPr>
          <w:trHeight w:val="298"/>
        </w:trPr>
        <w:tc>
          <w:tcPr>
            <w:tcW w:w="2235" w:type="dxa"/>
            <w:vMerge/>
            <w:shd w:val="clear" w:color="auto" w:fill="548DD4" w:themeFill="text2" w:themeFillTint="99"/>
            <w:vAlign w:val="center"/>
          </w:tcPr>
          <w:p w:rsidR="009A0B93" w:rsidRPr="009A0B93" w:rsidRDefault="009A0B93" w:rsidP="009A0B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57" w:type="dxa"/>
            <w:vMerge/>
            <w:shd w:val="clear" w:color="auto" w:fill="548DD4" w:themeFill="text2" w:themeFillTint="99"/>
            <w:vAlign w:val="center"/>
          </w:tcPr>
          <w:p w:rsidR="009A0B93" w:rsidRPr="009A0B93" w:rsidRDefault="009A0B93" w:rsidP="009A0B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58" w:type="dxa"/>
            <w:vMerge/>
            <w:shd w:val="clear" w:color="auto" w:fill="548DD4" w:themeFill="text2" w:themeFillTint="99"/>
            <w:vAlign w:val="center"/>
          </w:tcPr>
          <w:p w:rsidR="009A0B93" w:rsidRPr="009A0B93" w:rsidRDefault="009A0B93" w:rsidP="009A0B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548DD4" w:themeFill="text2" w:themeFillTint="99"/>
            <w:vAlign w:val="center"/>
          </w:tcPr>
          <w:p w:rsidR="009A0B93" w:rsidRPr="009A0B93" w:rsidRDefault="009A0B93" w:rsidP="009A0B9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A0B93">
              <w:rPr>
                <w:color w:val="FFFFFF" w:themeColor="background1"/>
                <w:sz w:val="28"/>
                <w:szCs w:val="28"/>
              </w:rPr>
              <w:t xml:space="preserve">What have I </w:t>
            </w:r>
            <w:r w:rsidRPr="009A0B93">
              <w:rPr>
                <w:b/>
                <w:i/>
                <w:color w:val="FFFFFF" w:themeColor="background1"/>
                <w:sz w:val="28"/>
                <w:szCs w:val="28"/>
              </w:rPr>
              <w:t>done</w:t>
            </w:r>
            <w:r w:rsidRPr="009A0B93">
              <w:rPr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3124" w:type="dxa"/>
            <w:shd w:val="clear" w:color="auto" w:fill="548DD4" w:themeFill="text2" w:themeFillTint="99"/>
            <w:vAlign w:val="center"/>
          </w:tcPr>
          <w:p w:rsidR="009A0B93" w:rsidRPr="009A0B93" w:rsidRDefault="009A0B93" w:rsidP="009A0B9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A0B93">
              <w:rPr>
                <w:color w:val="FFFFFF" w:themeColor="background1"/>
                <w:sz w:val="28"/>
                <w:szCs w:val="28"/>
              </w:rPr>
              <w:t xml:space="preserve">What </w:t>
            </w:r>
            <w:r w:rsidRPr="009A0B93">
              <w:rPr>
                <w:b/>
                <w:i/>
                <w:color w:val="FFFFFF" w:themeColor="background1"/>
                <w:sz w:val="28"/>
                <w:szCs w:val="28"/>
              </w:rPr>
              <w:t>could</w:t>
            </w:r>
            <w:r w:rsidRPr="009A0B93">
              <w:rPr>
                <w:color w:val="FFFFFF" w:themeColor="background1"/>
                <w:sz w:val="28"/>
                <w:szCs w:val="28"/>
              </w:rPr>
              <w:t xml:space="preserve"> I do?</w:t>
            </w:r>
          </w:p>
        </w:tc>
      </w:tr>
      <w:tr w:rsidR="009A0B93" w:rsidRPr="002350CC" w:rsidTr="009A0B93">
        <w:trPr>
          <w:trHeight w:val="1586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9A0B93" w:rsidRPr="003B63A2" w:rsidRDefault="009A0B93" w:rsidP="009A0B93">
            <w:pPr>
              <w:pStyle w:val="TableParagraph"/>
              <w:rPr>
                <w:rFonts w:eastAsia="Arial" w:cs="Arial"/>
                <w:color w:val="548DD4" w:themeColor="text2" w:themeTint="99"/>
                <w:szCs w:val="20"/>
              </w:rPr>
            </w:pPr>
            <w:r w:rsidRPr="003B63A2">
              <w:rPr>
                <w:color w:val="548DD4" w:themeColor="text2" w:themeTint="99"/>
                <w:szCs w:val="20"/>
              </w:rPr>
              <w:t>Physical, social and intellectual development and characteristics of students</w:t>
            </w:r>
          </w:p>
        </w:tc>
        <w:tc>
          <w:tcPr>
            <w:tcW w:w="3357" w:type="dxa"/>
            <w:vAlign w:val="center"/>
          </w:tcPr>
          <w:p w:rsidR="009A0B93" w:rsidRPr="003D6D0D" w:rsidRDefault="009A0B93" w:rsidP="009A0B93">
            <w:pPr>
              <w:pStyle w:val="TableParagraph"/>
              <w:rPr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1.1.3 Select from a flexible effective repertoire of teaching strategies to suit the physical, social and intellectual development and characteristics of students.</w:t>
            </w:r>
          </w:p>
        </w:tc>
        <w:tc>
          <w:tcPr>
            <w:tcW w:w="3358" w:type="dxa"/>
            <w:vAlign w:val="center"/>
          </w:tcPr>
          <w:p w:rsidR="009A0B93" w:rsidRPr="003D6D0D" w:rsidRDefault="009A0B93" w:rsidP="009A0B9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1.1.4 Lead colleagues to select and develop teaching strategies to improve student learning using knowledge of the physical, social and intellectual development and characteristics of students.</w:t>
            </w: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</w:tr>
      <w:tr w:rsidR="009A0B93" w:rsidRPr="002350CC" w:rsidTr="009A0B93">
        <w:trPr>
          <w:trHeight w:val="1096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9A0B93" w:rsidRPr="003B63A2" w:rsidRDefault="009A0B93" w:rsidP="009A0B93">
            <w:pPr>
              <w:pStyle w:val="TableParagraph"/>
              <w:rPr>
                <w:rFonts w:eastAsia="Arial" w:cs="Arial"/>
                <w:color w:val="548DD4" w:themeColor="text2" w:themeTint="99"/>
                <w:szCs w:val="20"/>
              </w:rPr>
            </w:pPr>
            <w:r w:rsidRPr="003B63A2">
              <w:rPr>
                <w:color w:val="548DD4" w:themeColor="text2" w:themeTint="99"/>
                <w:szCs w:val="20"/>
              </w:rPr>
              <w:t>Understand how students learn</w:t>
            </w:r>
          </w:p>
        </w:tc>
        <w:tc>
          <w:tcPr>
            <w:tcW w:w="3357" w:type="dxa"/>
            <w:vAlign w:val="center"/>
          </w:tcPr>
          <w:p w:rsidR="009A0B93" w:rsidRPr="003D6D0D" w:rsidRDefault="009A0B93" w:rsidP="009A0B9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1.2.3 Expand understanding of how students learn using research and workplace knowledge</w:t>
            </w:r>
          </w:p>
        </w:tc>
        <w:tc>
          <w:tcPr>
            <w:tcW w:w="3358" w:type="dxa"/>
            <w:vAlign w:val="center"/>
          </w:tcPr>
          <w:p w:rsidR="009A0B93" w:rsidRPr="003D6D0D" w:rsidRDefault="009A0B93" w:rsidP="009A0B9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1.2.4 Lead processes to evaluate the effectiveness of teaching programs using research and workplace knowledge about how students learn.</w:t>
            </w: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</w:tr>
      <w:tr w:rsidR="009A0B93" w:rsidRPr="002350CC" w:rsidTr="009A0B93">
        <w:trPr>
          <w:trHeight w:val="1749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9A0B93" w:rsidRPr="003B63A2" w:rsidRDefault="009A0B93" w:rsidP="009A0B93">
            <w:pPr>
              <w:pStyle w:val="TableParagraph"/>
              <w:rPr>
                <w:rFonts w:eastAsia="Arial" w:cs="Arial"/>
                <w:color w:val="548DD4" w:themeColor="text2" w:themeTint="99"/>
                <w:szCs w:val="20"/>
              </w:rPr>
            </w:pPr>
            <w:r w:rsidRPr="003B63A2">
              <w:rPr>
                <w:color w:val="548DD4" w:themeColor="text2" w:themeTint="99"/>
                <w:szCs w:val="20"/>
              </w:rPr>
              <w:t>Students with diverse linguistic, cultural, religious and socioeconomic backgrounds</w:t>
            </w:r>
          </w:p>
        </w:tc>
        <w:tc>
          <w:tcPr>
            <w:tcW w:w="3357" w:type="dxa"/>
            <w:vAlign w:val="center"/>
          </w:tcPr>
          <w:p w:rsidR="009A0B93" w:rsidRPr="003D6D0D" w:rsidRDefault="009A0B93" w:rsidP="009A0B9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1.3.3 Support colleagues to develop effective teaching strategies that address the learning strengths and needs of students from diverse linguistic, cultural, religious and socioeconomic backgrounds.</w:t>
            </w:r>
          </w:p>
        </w:tc>
        <w:tc>
          <w:tcPr>
            <w:tcW w:w="3358" w:type="dxa"/>
            <w:vAlign w:val="center"/>
          </w:tcPr>
          <w:p w:rsidR="009A0B93" w:rsidRPr="003D6D0D" w:rsidRDefault="009A0B93" w:rsidP="009A0B9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1.3.4 Evaluate and revise school learning and teaching programs, using expert and community knowledge and experience, to meet the needs of students with diverse linguistic, cultural, religious and socioeconomic backgrounds.</w:t>
            </w: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</w:tr>
      <w:tr w:rsidR="009A0B93" w:rsidRPr="002350CC" w:rsidTr="009A0B93">
        <w:trPr>
          <w:trHeight w:val="1837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9A0B93" w:rsidRPr="003B63A2" w:rsidRDefault="009A0B93" w:rsidP="009A0B93">
            <w:pPr>
              <w:rPr>
                <w:color w:val="548DD4" w:themeColor="text2" w:themeTint="99"/>
                <w:szCs w:val="20"/>
              </w:rPr>
            </w:pPr>
            <w:r w:rsidRPr="003B63A2">
              <w:rPr>
                <w:color w:val="548DD4" w:themeColor="text2" w:themeTint="99"/>
                <w:szCs w:val="20"/>
              </w:rPr>
              <w:t>Strategies for teaching Aboriginal and Torres Strait Islander students</w:t>
            </w:r>
          </w:p>
        </w:tc>
        <w:tc>
          <w:tcPr>
            <w:tcW w:w="3357" w:type="dxa"/>
            <w:vAlign w:val="center"/>
          </w:tcPr>
          <w:p w:rsidR="009A0B93" w:rsidRPr="003D6D0D" w:rsidRDefault="009A0B93" w:rsidP="009A0B93">
            <w:pPr>
              <w:rPr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1.4.3 Provide advice and support colleagues in the implementation of effective teaching strategies for Aboriginal and Torres Strait Islander students using knowledge of and support from community representatives.</w:t>
            </w:r>
          </w:p>
        </w:tc>
        <w:tc>
          <w:tcPr>
            <w:tcW w:w="3358" w:type="dxa"/>
            <w:vAlign w:val="center"/>
          </w:tcPr>
          <w:p w:rsidR="009A0B93" w:rsidRPr="003D6D0D" w:rsidRDefault="009A0B93" w:rsidP="009A0B93">
            <w:pPr>
              <w:rPr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1.4.4 Develop teaching programs that support equitable and ongoing participation of Aboriginal and Torres Strait Islander students by engaging in collaborative relationships with community representatives and parents/carers.</w:t>
            </w: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</w:tr>
      <w:tr w:rsidR="009A0B93" w:rsidRPr="002350CC" w:rsidTr="009A0B93">
        <w:trPr>
          <w:trHeight w:val="175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9A0B93" w:rsidRPr="003B63A2" w:rsidRDefault="009A0B93" w:rsidP="009A0B93">
            <w:pPr>
              <w:rPr>
                <w:color w:val="548DD4" w:themeColor="text2" w:themeTint="99"/>
                <w:szCs w:val="20"/>
              </w:rPr>
            </w:pPr>
            <w:r w:rsidRPr="003B63A2">
              <w:rPr>
                <w:color w:val="548DD4" w:themeColor="text2" w:themeTint="99"/>
                <w:szCs w:val="20"/>
              </w:rPr>
              <w:t>Differentiate teaching to meet the specific learning needs of students across the full range of abilities</w:t>
            </w:r>
          </w:p>
        </w:tc>
        <w:tc>
          <w:tcPr>
            <w:tcW w:w="3357" w:type="dxa"/>
            <w:vAlign w:val="center"/>
          </w:tcPr>
          <w:p w:rsidR="009A0B93" w:rsidRPr="003D6D0D" w:rsidRDefault="009A0B93" w:rsidP="009A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1.5.3 </w:t>
            </w:r>
            <w:r w:rsidRPr="003D6D0D">
              <w:rPr>
                <w:sz w:val="20"/>
                <w:szCs w:val="20"/>
              </w:rPr>
              <w:t>Evaluate learning and teaching programs, using student assessment data that are differentiated for the specific learning needs of students across the full range of abilities.</w:t>
            </w:r>
          </w:p>
        </w:tc>
        <w:tc>
          <w:tcPr>
            <w:tcW w:w="3358" w:type="dxa"/>
            <w:vAlign w:val="center"/>
          </w:tcPr>
          <w:p w:rsidR="009A0B93" w:rsidRPr="003D6D0D" w:rsidRDefault="009A0B93" w:rsidP="009A0B93">
            <w:pPr>
              <w:rPr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1.5.4 Lead colleagues to evaluate the effectiveness of learning and teaching programs differentiated for the specific learning needs of students across the full range of abilities.</w:t>
            </w: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</w:tr>
      <w:tr w:rsidR="009A0B93" w:rsidRPr="002350CC" w:rsidTr="009A0B93">
        <w:trPr>
          <w:trHeight w:val="1609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9A0B93" w:rsidRPr="003B63A2" w:rsidRDefault="009A0B93" w:rsidP="009A0B93">
            <w:pPr>
              <w:rPr>
                <w:color w:val="548DD4" w:themeColor="text2" w:themeTint="99"/>
                <w:szCs w:val="20"/>
              </w:rPr>
            </w:pPr>
            <w:r w:rsidRPr="003B63A2">
              <w:rPr>
                <w:color w:val="548DD4" w:themeColor="text2" w:themeTint="99"/>
                <w:szCs w:val="20"/>
              </w:rPr>
              <w:t>Strategies to support full participation of students with disability</w:t>
            </w:r>
          </w:p>
        </w:tc>
        <w:tc>
          <w:tcPr>
            <w:tcW w:w="3357" w:type="dxa"/>
            <w:vAlign w:val="center"/>
          </w:tcPr>
          <w:p w:rsidR="009A0B93" w:rsidRPr="003D6D0D" w:rsidRDefault="009A0B93" w:rsidP="009A0B93">
            <w:pPr>
              <w:rPr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1.6.3 Work with colleagues to access specialist knowledge, and relevant policy and legislation, to develop teaching programs that support the participation and learning of students with disability.</w:t>
            </w:r>
          </w:p>
        </w:tc>
        <w:tc>
          <w:tcPr>
            <w:tcW w:w="3358" w:type="dxa"/>
            <w:vAlign w:val="center"/>
          </w:tcPr>
          <w:p w:rsidR="009A0B93" w:rsidRPr="003D6D0D" w:rsidRDefault="009A0B93" w:rsidP="009A0B93">
            <w:pPr>
              <w:rPr>
                <w:sz w:val="20"/>
                <w:szCs w:val="20"/>
              </w:rPr>
            </w:pPr>
            <w:r w:rsidRPr="003D6D0D">
              <w:rPr>
                <w:sz w:val="20"/>
                <w:szCs w:val="20"/>
              </w:rPr>
              <w:t>1.6.4 Initiate and lead the review of school policies to support the engagement and full participation of students with disability and ensure compliance with legislative and/or system policies.</w:t>
            </w: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9A0B93" w:rsidRPr="002350CC" w:rsidRDefault="009A0B93" w:rsidP="009A0B93">
            <w:pPr>
              <w:rPr>
                <w:sz w:val="20"/>
              </w:rPr>
            </w:pPr>
          </w:p>
        </w:tc>
      </w:tr>
    </w:tbl>
    <w:p w:rsidR="00532345" w:rsidRPr="00532345" w:rsidRDefault="00532345" w:rsidP="00532345">
      <w:pPr>
        <w:jc w:val="center"/>
        <w:rPr>
          <w:color w:val="548DD4" w:themeColor="text2" w:themeTint="99"/>
          <w:sz w:val="6"/>
        </w:rPr>
      </w:pPr>
      <w:r w:rsidRPr="00532345">
        <w:rPr>
          <w:rFonts w:eastAsia="Arial" w:cs="Arial"/>
          <w:b/>
          <w:color w:val="548DD4" w:themeColor="text2" w:themeTint="99"/>
          <w:sz w:val="36"/>
          <w:szCs w:val="16"/>
        </w:rPr>
        <w:t xml:space="preserve"> Standard 1 – Know students and how they learn</w:t>
      </w:r>
    </w:p>
    <w:sectPr w:rsidR="00532345" w:rsidRPr="00532345" w:rsidSect="00532345">
      <w:footerReference w:type="default" r:id="rId8"/>
      <w:pgSz w:w="16440" w:h="12750" w:orient="landscape"/>
      <w:pgMar w:top="421" w:right="705" w:bottom="426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2F" w:rsidRDefault="00771819">
      <w:r>
        <w:separator/>
      </w:r>
    </w:p>
  </w:endnote>
  <w:endnote w:type="continuationSeparator" w:id="0">
    <w:p w:rsidR="002A3E2F" w:rsidRDefault="007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SDWB+ArialMT">
    <w:altName w:val="CMSDWB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38" w:rsidRDefault="00F25C3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2F" w:rsidRDefault="00771819">
      <w:r>
        <w:separator/>
      </w:r>
    </w:p>
  </w:footnote>
  <w:footnote w:type="continuationSeparator" w:id="0">
    <w:p w:rsidR="002A3E2F" w:rsidRDefault="0077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85EC83"/>
    <w:multiLevelType w:val="hybridMultilevel"/>
    <w:tmpl w:val="9C59C3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121487"/>
    <w:multiLevelType w:val="hybridMultilevel"/>
    <w:tmpl w:val="6D8E6858"/>
    <w:lvl w:ilvl="0" w:tplc="57ACE060">
      <w:start w:val="10"/>
      <w:numFmt w:val="decimal"/>
      <w:lvlText w:val="%1."/>
      <w:lvlJc w:val="left"/>
      <w:pPr>
        <w:ind w:left="8622" w:hanging="360"/>
      </w:pPr>
      <w:rPr>
        <w:rFonts w:ascii="Arial" w:eastAsia="Arial" w:hAnsi="Arial" w:hint="default"/>
        <w:spacing w:val="2"/>
        <w:sz w:val="16"/>
        <w:szCs w:val="16"/>
      </w:rPr>
    </w:lvl>
    <w:lvl w:ilvl="1" w:tplc="6FE89756">
      <w:start w:val="1"/>
      <w:numFmt w:val="bullet"/>
      <w:lvlText w:val="•"/>
      <w:lvlJc w:val="left"/>
      <w:pPr>
        <w:ind w:left="9034" w:hanging="360"/>
      </w:pPr>
      <w:rPr>
        <w:rFonts w:hint="default"/>
      </w:rPr>
    </w:lvl>
    <w:lvl w:ilvl="2" w:tplc="5DA86386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  <w:lvl w:ilvl="3" w:tplc="A76A3832">
      <w:start w:val="1"/>
      <w:numFmt w:val="bullet"/>
      <w:lvlText w:val="•"/>
      <w:lvlJc w:val="left"/>
      <w:pPr>
        <w:ind w:left="9859" w:hanging="360"/>
      </w:pPr>
      <w:rPr>
        <w:rFonts w:hint="default"/>
      </w:rPr>
    </w:lvl>
    <w:lvl w:ilvl="4" w:tplc="3D86AB86">
      <w:start w:val="1"/>
      <w:numFmt w:val="bullet"/>
      <w:lvlText w:val="•"/>
      <w:lvlJc w:val="left"/>
      <w:pPr>
        <w:ind w:left="10271" w:hanging="360"/>
      </w:pPr>
      <w:rPr>
        <w:rFonts w:hint="default"/>
      </w:rPr>
    </w:lvl>
    <w:lvl w:ilvl="5" w:tplc="A9B63D22">
      <w:start w:val="1"/>
      <w:numFmt w:val="bullet"/>
      <w:lvlText w:val="•"/>
      <w:lvlJc w:val="left"/>
      <w:pPr>
        <w:ind w:left="10683" w:hanging="360"/>
      </w:pPr>
      <w:rPr>
        <w:rFonts w:hint="default"/>
      </w:rPr>
    </w:lvl>
    <w:lvl w:ilvl="6" w:tplc="92569084">
      <w:start w:val="1"/>
      <w:numFmt w:val="bullet"/>
      <w:lvlText w:val="•"/>
      <w:lvlJc w:val="left"/>
      <w:pPr>
        <w:ind w:left="11096" w:hanging="360"/>
      </w:pPr>
      <w:rPr>
        <w:rFonts w:hint="default"/>
      </w:rPr>
    </w:lvl>
    <w:lvl w:ilvl="7" w:tplc="B81240B4">
      <w:start w:val="1"/>
      <w:numFmt w:val="bullet"/>
      <w:lvlText w:val="•"/>
      <w:lvlJc w:val="left"/>
      <w:pPr>
        <w:ind w:left="11508" w:hanging="360"/>
      </w:pPr>
      <w:rPr>
        <w:rFonts w:hint="default"/>
      </w:rPr>
    </w:lvl>
    <w:lvl w:ilvl="8" w:tplc="C3EA8D3A">
      <w:start w:val="1"/>
      <w:numFmt w:val="bullet"/>
      <w:lvlText w:val="•"/>
      <w:lvlJc w:val="left"/>
      <w:pPr>
        <w:ind w:left="11920" w:hanging="360"/>
      </w:pPr>
      <w:rPr>
        <w:rFonts w:hint="default"/>
      </w:rPr>
    </w:lvl>
  </w:abstractNum>
  <w:abstractNum w:abstractNumId="2">
    <w:nsid w:val="57F808EF"/>
    <w:multiLevelType w:val="hybridMultilevel"/>
    <w:tmpl w:val="B0845D1A"/>
    <w:lvl w:ilvl="0" w:tplc="9D1A97E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8"/>
    <w:rsid w:val="000C4DA7"/>
    <w:rsid w:val="002350CC"/>
    <w:rsid w:val="00283914"/>
    <w:rsid w:val="002A3E2F"/>
    <w:rsid w:val="002E4240"/>
    <w:rsid w:val="003B63A2"/>
    <w:rsid w:val="003D6D0D"/>
    <w:rsid w:val="00532345"/>
    <w:rsid w:val="00714BFA"/>
    <w:rsid w:val="00771819"/>
    <w:rsid w:val="009A0B93"/>
    <w:rsid w:val="00C50D3D"/>
    <w:rsid w:val="00D41C66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270"/>
      <w:outlineLvl w:val="0"/>
    </w:pPr>
    <w:rPr>
      <w:rFonts w:ascii="Arial" w:eastAsia="Arial" w:hAnsi="Arial"/>
      <w:sz w:val="53"/>
      <w:szCs w:val="53"/>
    </w:rPr>
  </w:style>
  <w:style w:type="paragraph" w:styleId="Heading2">
    <w:name w:val="heading 2"/>
    <w:basedOn w:val="Normal"/>
    <w:uiPriority w:val="1"/>
    <w:qFormat/>
    <w:pPr>
      <w:spacing w:before="52"/>
      <w:outlineLvl w:val="1"/>
    </w:pPr>
    <w:rPr>
      <w:rFonts w:ascii="Arial" w:eastAsia="Arial" w:hAnsi="Arial"/>
      <w:sz w:val="37"/>
      <w:szCs w:val="37"/>
    </w:rPr>
  </w:style>
  <w:style w:type="paragraph" w:styleId="Heading3">
    <w:name w:val="heading 3"/>
    <w:basedOn w:val="Normal"/>
    <w:uiPriority w:val="1"/>
    <w:qFormat/>
    <w:pPr>
      <w:spacing w:before="61"/>
      <w:ind w:left="350"/>
      <w:outlineLvl w:val="2"/>
    </w:pPr>
    <w:rPr>
      <w:rFonts w:ascii="Arial" w:eastAsia="Arial" w:hAnsi="Arial"/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97"/>
      <w:ind w:left="127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270"/>
      <w:outlineLvl w:val="4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6"/>
      <w:ind w:left="2966"/>
    </w:pPr>
    <w:rPr>
      <w:rFonts w:ascii="Arial" w:eastAsia="Arial" w:hAnsi="Arial"/>
      <w:b/>
      <w:bCs/>
      <w:sz w:val="16"/>
      <w:szCs w:val="16"/>
    </w:rPr>
  </w:style>
  <w:style w:type="paragraph" w:styleId="TOC2">
    <w:name w:val="toc 2"/>
    <w:basedOn w:val="Normal"/>
    <w:uiPriority w:val="1"/>
    <w:qFormat/>
    <w:pPr>
      <w:spacing w:before="92"/>
      <w:ind w:left="2966"/>
    </w:pPr>
    <w:rPr>
      <w:rFonts w:ascii="Arial" w:eastAsia="Arial" w:hAnsi="Arial"/>
      <w:sz w:val="16"/>
      <w:szCs w:val="16"/>
    </w:rPr>
  </w:style>
  <w:style w:type="paragraph" w:styleId="TOC3">
    <w:name w:val="toc 3"/>
    <w:basedOn w:val="Normal"/>
    <w:uiPriority w:val="1"/>
    <w:qFormat/>
    <w:pPr>
      <w:spacing w:before="206"/>
      <w:ind w:left="2965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spacing w:before="114"/>
      <w:ind w:left="127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3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914"/>
    <w:pPr>
      <w:widowControl/>
      <w:autoSpaceDE w:val="0"/>
      <w:autoSpaceDN w:val="0"/>
      <w:adjustRightInd w:val="0"/>
    </w:pPr>
    <w:rPr>
      <w:rFonts w:ascii="CMSDWB+ArialMT" w:hAnsi="CMSDWB+ArialMT" w:cs="CMSDWB+ArialMT"/>
      <w:color w:val="000000"/>
      <w:sz w:val="24"/>
      <w:szCs w:val="24"/>
      <w:lang w:val="en-AU"/>
    </w:rPr>
  </w:style>
  <w:style w:type="paragraph" w:customStyle="1" w:styleId="Pa8">
    <w:name w:val="Pa8"/>
    <w:basedOn w:val="Default"/>
    <w:next w:val="Default"/>
    <w:uiPriority w:val="99"/>
    <w:rsid w:val="00532345"/>
    <w:pPr>
      <w:spacing w:line="191" w:lineRule="atLeast"/>
    </w:pPr>
    <w:rPr>
      <w:rFonts w:ascii="Frutiger LT Std 45 Light" w:hAnsi="Frutiger LT Std 45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3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345"/>
  </w:style>
  <w:style w:type="paragraph" w:styleId="Footer">
    <w:name w:val="footer"/>
    <w:basedOn w:val="Normal"/>
    <w:link w:val="FooterChar"/>
    <w:uiPriority w:val="99"/>
    <w:unhideWhenUsed/>
    <w:rsid w:val="0053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345"/>
  </w:style>
  <w:style w:type="paragraph" w:styleId="BalloonText">
    <w:name w:val="Balloon Text"/>
    <w:basedOn w:val="Normal"/>
    <w:link w:val="BalloonTextChar"/>
    <w:uiPriority w:val="99"/>
    <w:semiHidden/>
    <w:unhideWhenUsed/>
    <w:rsid w:val="005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270"/>
      <w:outlineLvl w:val="0"/>
    </w:pPr>
    <w:rPr>
      <w:rFonts w:ascii="Arial" w:eastAsia="Arial" w:hAnsi="Arial"/>
      <w:sz w:val="53"/>
      <w:szCs w:val="53"/>
    </w:rPr>
  </w:style>
  <w:style w:type="paragraph" w:styleId="Heading2">
    <w:name w:val="heading 2"/>
    <w:basedOn w:val="Normal"/>
    <w:uiPriority w:val="1"/>
    <w:qFormat/>
    <w:pPr>
      <w:spacing w:before="52"/>
      <w:outlineLvl w:val="1"/>
    </w:pPr>
    <w:rPr>
      <w:rFonts w:ascii="Arial" w:eastAsia="Arial" w:hAnsi="Arial"/>
      <w:sz w:val="37"/>
      <w:szCs w:val="37"/>
    </w:rPr>
  </w:style>
  <w:style w:type="paragraph" w:styleId="Heading3">
    <w:name w:val="heading 3"/>
    <w:basedOn w:val="Normal"/>
    <w:uiPriority w:val="1"/>
    <w:qFormat/>
    <w:pPr>
      <w:spacing w:before="61"/>
      <w:ind w:left="350"/>
      <w:outlineLvl w:val="2"/>
    </w:pPr>
    <w:rPr>
      <w:rFonts w:ascii="Arial" w:eastAsia="Arial" w:hAnsi="Arial"/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97"/>
      <w:ind w:left="127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270"/>
      <w:outlineLvl w:val="4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6"/>
      <w:ind w:left="2966"/>
    </w:pPr>
    <w:rPr>
      <w:rFonts w:ascii="Arial" w:eastAsia="Arial" w:hAnsi="Arial"/>
      <w:b/>
      <w:bCs/>
      <w:sz w:val="16"/>
      <w:szCs w:val="16"/>
    </w:rPr>
  </w:style>
  <w:style w:type="paragraph" w:styleId="TOC2">
    <w:name w:val="toc 2"/>
    <w:basedOn w:val="Normal"/>
    <w:uiPriority w:val="1"/>
    <w:qFormat/>
    <w:pPr>
      <w:spacing w:before="92"/>
      <w:ind w:left="2966"/>
    </w:pPr>
    <w:rPr>
      <w:rFonts w:ascii="Arial" w:eastAsia="Arial" w:hAnsi="Arial"/>
      <w:sz w:val="16"/>
      <w:szCs w:val="16"/>
    </w:rPr>
  </w:style>
  <w:style w:type="paragraph" w:styleId="TOC3">
    <w:name w:val="toc 3"/>
    <w:basedOn w:val="Normal"/>
    <w:uiPriority w:val="1"/>
    <w:qFormat/>
    <w:pPr>
      <w:spacing w:before="206"/>
      <w:ind w:left="2965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spacing w:before="114"/>
      <w:ind w:left="127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3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914"/>
    <w:pPr>
      <w:widowControl/>
      <w:autoSpaceDE w:val="0"/>
      <w:autoSpaceDN w:val="0"/>
      <w:adjustRightInd w:val="0"/>
    </w:pPr>
    <w:rPr>
      <w:rFonts w:ascii="CMSDWB+ArialMT" w:hAnsi="CMSDWB+ArialMT" w:cs="CMSDWB+ArialMT"/>
      <w:color w:val="000000"/>
      <w:sz w:val="24"/>
      <w:szCs w:val="24"/>
      <w:lang w:val="en-AU"/>
    </w:rPr>
  </w:style>
  <w:style w:type="paragraph" w:customStyle="1" w:styleId="Pa8">
    <w:name w:val="Pa8"/>
    <w:basedOn w:val="Default"/>
    <w:next w:val="Default"/>
    <w:uiPriority w:val="99"/>
    <w:rsid w:val="00532345"/>
    <w:pPr>
      <w:spacing w:line="191" w:lineRule="atLeast"/>
    </w:pPr>
    <w:rPr>
      <w:rFonts w:ascii="Frutiger LT Std 45 Light" w:hAnsi="Frutiger LT Std 45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3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345"/>
  </w:style>
  <w:style w:type="paragraph" w:styleId="Footer">
    <w:name w:val="footer"/>
    <w:basedOn w:val="Normal"/>
    <w:link w:val="FooterChar"/>
    <w:uiPriority w:val="99"/>
    <w:unhideWhenUsed/>
    <w:rsid w:val="0053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345"/>
  </w:style>
  <w:style w:type="paragraph" w:styleId="BalloonText">
    <w:name w:val="Balloon Text"/>
    <w:basedOn w:val="Normal"/>
    <w:link w:val="BalloonTextChar"/>
    <w:uiPriority w:val="99"/>
    <w:semiHidden/>
    <w:unhideWhenUsed/>
    <w:rsid w:val="005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Professional Standards for Teachers</vt:lpstr>
    </vt:vector>
  </TitlesOfParts>
  <Company>Callaghan College Wallsend Campus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Professional Standards for Teachers</dc:title>
  <dc:subject>Australian Professional Standards for Teachers</dc:subject>
  <dc:creator>Bevin, Krystal</dc:creator>
  <cp:keywords>Australian Professional Teaching Standards</cp:keywords>
  <cp:lastModifiedBy>Krystal Bevin</cp:lastModifiedBy>
  <cp:revision>2</cp:revision>
  <cp:lastPrinted>2014-08-04T02:51:00Z</cp:lastPrinted>
  <dcterms:created xsi:type="dcterms:W3CDTF">2016-03-15T01:13:00Z</dcterms:created>
  <dcterms:modified xsi:type="dcterms:W3CDTF">2016-03-15T01:13:00Z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2014-07-28T00:00:00Z</vt:filetime>
  </property>
</Properties>
</file>