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C9" w:rsidRDefault="00182FC9" w:rsidP="00182FC9">
      <w:pPr>
        <w:jc w:val="center"/>
      </w:pPr>
      <w:r w:rsidRPr="004E5BAF">
        <w:rPr>
          <w:b/>
          <w:sz w:val="40"/>
          <w:szCs w:val="40"/>
        </w:rPr>
        <w:t>Professional Learning Links</w:t>
      </w:r>
    </w:p>
    <w:tbl>
      <w:tblPr>
        <w:tblStyle w:val="MediumGrid3-Accent1"/>
        <w:tblW w:w="0" w:type="auto"/>
        <w:tblLayout w:type="fixed"/>
        <w:tblLook w:val="04A0" w:firstRow="1" w:lastRow="0" w:firstColumn="1" w:lastColumn="0" w:noHBand="0" w:noVBand="1"/>
      </w:tblPr>
      <w:tblGrid>
        <w:gridCol w:w="2883"/>
        <w:gridCol w:w="4313"/>
        <w:gridCol w:w="8505"/>
      </w:tblGrid>
      <w:tr w:rsidR="00063ABF" w:rsidTr="009608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3" w:type="dxa"/>
            <w:vAlign w:val="center"/>
          </w:tcPr>
          <w:p w:rsidR="00063ABF" w:rsidRPr="009608EB" w:rsidRDefault="00063ABF" w:rsidP="009608EB">
            <w:pPr>
              <w:jc w:val="center"/>
              <w:rPr>
                <w:sz w:val="34"/>
                <w:szCs w:val="24"/>
              </w:rPr>
            </w:pPr>
            <w:r w:rsidRPr="009608EB">
              <w:rPr>
                <w:sz w:val="34"/>
                <w:szCs w:val="24"/>
              </w:rPr>
              <w:t>Name</w:t>
            </w:r>
          </w:p>
        </w:tc>
        <w:tc>
          <w:tcPr>
            <w:tcW w:w="4313" w:type="dxa"/>
            <w:vAlign w:val="center"/>
          </w:tcPr>
          <w:p w:rsidR="00063ABF" w:rsidRPr="009608EB" w:rsidRDefault="00063ABF" w:rsidP="009608EB">
            <w:pPr>
              <w:jc w:val="center"/>
              <w:cnfStyle w:val="100000000000" w:firstRow="1" w:lastRow="0" w:firstColumn="0" w:lastColumn="0" w:oddVBand="0" w:evenVBand="0" w:oddHBand="0" w:evenHBand="0" w:firstRowFirstColumn="0" w:firstRowLastColumn="0" w:lastRowFirstColumn="0" w:lastRowLastColumn="0"/>
              <w:rPr>
                <w:sz w:val="34"/>
                <w:szCs w:val="24"/>
              </w:rPr>
            </w:pPr>
            <w:r w:rsidRPr="009608EB">
              <w:rPr>
                <w:sz w:val="34"/>
                <w:szCs w:val="24"/>
              </w:rPr>
              <w:t>Summary</w:t>
            </w:r>
          </w:p>
        </w:tc>
        <w:tc>
          <w:tcPr>
            <w:tcW w:w="8505" w:type="dxa"/>
            <w:vAlign w:val="center"/>
          </w:tcPr>
          <w:p w:rsidR="00063ABF" w:rsidRPr="009608EB" w:rsidRDefault="00063ABF" w:rsidP="009608EB">
            <w:pPr>
              <w:jc w:val="center"/>
              <w:cnfStyle w:val="100000000000" w:firstRow="1" w:lastRow="0" w:firstColumn="0" w:lastColumn="0" w:oddVBand="0" w:evenVBand="0" w:oddHBand="0" w:evenHBand="0" w:firstRowFirstColumn="0" w:firstRowLastColumn="0" w:lastRowFirstColumn="0" w:lastRowLastColumn="0"/>
              <w:rPr>
                <w:sz w:val="34"/>
                <w:szCs w:val="24"/>
              </w:rPr>
            </w:pPr>
            <w:r w:rsidRPr="009608EB">
              <w:rPr>
                <w:sz w:val="34"/>
                <w:szCs w:val="24"/>
              </w:rPr>
              <w:t>Link</w:t>
            </w:r>
          </w:p>
        </w:tc>
      </w:tr>
      <w:tr w:rsidR="00063ABF" w:rsidTr="009608EB">
        <w:trPr>
          <w:cnfStyle w:val="000000100000" w:firstRow="0" w:lastRow="0" w:firstColumn="0" w:lastColumn="0" w:oddVBand="0" w:evenVBand="0" w:oddHBand="1" w:evenHBand="0"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2883" w:type="dxa"/>
            <w:vAlign w:val="center"/>
          </w:tcPr>
          <w:p w:rsidR="00063ABF" w:rsidRPr="00C9174A" w:rsidRDefault="00063ABF" w:rsidP="00C9174A">
            <w:pPr>
              <w:jc w:val="center"/>
              <w:rPr>
                <w:b w:val="0"/>
                <w:sz w:val="34"/>
                <w:szCs w:val="24"/>
              </w:rPr>
            </w:pPr>
            <w:r w:rsidRPr="00C9174A">
              <w:rPr>
                <w:sz w:val="34"/>
                <w:szCs w:val="24"/>
              </w:rPr>
              <w:t>Learning High Performance and Accountability</w:t>
            </w:r>
          </w:p>
        </w:tc>
        <w:tc>
          <w:tcPr>
            <w:tcW w:w="4313" w:type="dxa"/>
            <w:vAlign w:val="center"/>
          </w:tcPr>
          <w:p w:rsidR="00063ABF" w:rsidRPr="009608EB" w:rsidRDefault="00063ABF"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sidRPr="009608EB">
              <w:rPr>
                <w:rFonts w:cs="Arial"/>
                <w:color w:val="000000" w:themeColor="text1"/>
                <w:sz w:val="24"/>
                <w:szCs w:val="24"/>
              </w:rPr>
              <w:t>Learning, High Performance and Accountability is responsible for implementing a number of deliverables relating to key education reforms. These include Local Schools, Local Decisions, Great Teaching, Inspired Learning, School Excellence and Rural and Remote.</w:t>
            </w:r>
          </w:p>
        </w:tc>
        <w:tc>
          <w:tcPr>
            <w:tcW w:w="8505" w:type="dxa"/>
            <w:vAlign w:val="center"/>
          </w:tcPr>
          <w:p w:rsidR="008C656A" w:rsidRPr="009608EB" w:rsidRDefault="008C656A"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6" w:history="1">
              <w:r w:rsidRPr="009608EB">
                <w:rPr>
                  <w:rStyle w:val="Hyperlink"/>
                  <w:b/>
                  <w:color w:val="000000" w:themeColor="text1"/>
                  <w:sz w:val="24"/>
                  <w:szCs w:val="24"/>
                </w:rPr>
                <w:t>https://detwww.det.nsw.edu.au/lhpa</w:t>
              </w:r>
            </w:hyperlink>
          </w:p>
        </w:tc>
      </w:tr>
      <w:tr w:rsidR="00063ABF" w:rsidTr="009608EB">
        <w:trPr>
          <w:trHeight w:val="2818"/>
        </w:trPr>
        <w:tc>
          <w:tcPr>
            <w:cnfStyle w:val="001000000000" w:firstRow="0" w:lastRow="0" w:firstColumn="1" w:lastColumn="0" w:oddVBand="0" w:evenVBand="0" w:oddHBand="0" w:evenHBand="0" w:firstRowFirstColumn="0" w:firstRowLastColumn="0" w:lastRowFirstColumn="0" w:lastRowLastColumn="0"/>
            <w:tcW w:w="2883" w:type="dxa"/>
            <w:vAlign w:val="center"/>
          </w:tcPr>
          <w:p w:rsidR="00063ABF" w:rsidRPr="00C9174A" w:rsidRDefault="00C9174A" w:rsidP="00C9174A">
            <w:pPr>
              <w:jc w:val="center"/>
              <w:rPr>
                <w:b w:val="0"/>
                <w:bCs w:val="0"/>
                <w:sz w:val="34"/>
                <w:szCs w:val="24"/>
              </w:rPr>
            </w:pPr>
            <w:r>
              <w:rPr>
                <w:sz w:val="34"/>
                <w:szCs w:val="24"/>
              </w:rPr>
              <w:t>The Classroom Teacher P</w:t>
            </w:r>
            <w:r w:rsidR="00636861" w:rsidRPr="00C9174A">
              <w:rPr>
                <w:sz w:val="34"/>
                <w:szCs w:val="24"/>
              </w:rPr>
              <w:t>rogram</w:t>
            </w:r>
          </w:p>
        </w:tc>
        <w:tc>
          <w:tcPr>
            <w:tcW w:w="4313" w:type="dxa"/>
            <w:vAlign w:val="center"/>
          </w:tcPr>
          <w:p w:rsidR="00063ABF" w:rsidRPr="009608EB" w:rsidRDefault="00636861" w:rsidP="009608EB">
            <w:pPr>
              <w:cnfStyle w:val="000000000000" w:firstRow="0" w:lastRow="0" w:firstColumn="0" w:lastColumn="0" w:oddVBand="0" w:evenVBand="0" w:oddHBand="0" w:evenHBand="0" w:firstRowFirstColumn="0" w:firstRowLastColumn="0" w:lastRowFirstColumn="0" w:lastRowLastColumn="0"/>
              <w:rPr>
                <w:sz w:val="24"/>
                <w:szCs w:val="24"/>
              </w:rPr>
            </w:pPr>
            <w:r w:rsidRPr="009608EB">
              <w:rPr>
                <w:sz w:val="24"/>
                <w:szCs w:val="24"/>
              </w:rPr>
              <w:t>The Classroom Teacher Program is a resource that provides approximately 50 professional learning courses which may be selected and connected together to provide deep learning for whole schools or individuals. These courses are free to DEC teachers and can be accessed as self-paced professional learning modules.</w:t>
            </w:r>
          </w:p>
        </w:tc>
        <w:tc>
          <w:tcPr>
            <w:tcW w:w="8505" w:type="dxa"/>
            <w:vAlign w:val="center"/>
          </w:tcPr>
          <w:p w:rsidR="008C656A" w:rsidRPr="009608EB" w:rsidRDefault="008C656A"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7" w:history="1">
              <w:r w:rsidRPr="009608EB">
                <w:rPr>
                  <w:rStyle w:val="Hyperlink"/>
                  <w:b/>
                  <w:color w:val="000000" w:themeColor="text1"/>
                  <w:sz w:val="24"/>
                  <w:szCs w:val="24"/>
                </w:rPr>
                <w:t>https://detwww.det.nsw.edu.au/ctp/index.htm</w:t>
              </w:r>
            </w:hyperlink>
          </w:p>
        </w:tc>
      </w:tr>
      <w:tr w:rsidR="00063ABF" w:rsidTr="009608EB">
        <w:trPr>
          <w:cnfStyle w:val="000000100000" w:firstRow="0" w:lastRow="0" w:firstColumn="0" w:lastColumn="0" w:oddVBand="0" w:evenVBand="0" w:oddHBand="1"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2883" w:type="dxa"/>
            <w:vAlign w:val="center"/>
          </w:tcPr>
          <w:p w:rsidR="00C9174A" w:rsidRDefault="00636861" w:rsidP="00C9174A">
            <w:pPr>
              <w:jc w:val="center"/>
              <w:rPr>
                <w:sz w:val="34"/>
              </w:rPr>
            </w:pPr>
            <w:r w:rsidRPr="00C9174A">
              <w:rPr>
                <w:sz w:val="34"/>
              </w:rPr>
              <w:t xml:space="preserve">Strong Start, </w:t>
            </w:r>
          </w:p>
          <w:p w:rsidR="00636861" w:rsidRPr="00C9174A" w:rsidRDefault="00636861" w:rsidP="00C9174A">
            <w:pPr>
              <w:jc w:val="center"/>
              <w:rPr>
                <w:b w:val="0"/>
                <w:sz w:val="34"/>
              </w:rPr>
            </w:pPr>
            <w:r w:rsidRPr="00C9174A">
              <w:rPr>
                <w:sz w:val="34"/>
              </w:rPr>
              <w:t>Great Teachers</w:t>
            </w:r>
          </w:p>
          <w:p w:rsidR="00063ABF" w:rsidRPr="00C9174A" w:rsidRDefault="00063ABF" w:rsidP="00C9174A">
            <w:pPr>
              <w:jc w:val="center"/>
              <w:rPr>
                <w:sz w:val="34"/>
              </w:rPr>
            </w:pPr>
          </w:p>
        </w:tc>
        <w:tc>
          <w:tcPr>
            <w:tcW w:w="4313" w:type="dxa"/>
            <w:vAlign w:val="center"/>
          </w:tcPr>
          <w:p w:rsidR="00063ABF" w:rsidRPr="009608EB" w:rsidRDefault="00636861" w:rsidP="009608E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9608EB">
              <w:rPr>
                <w:rFonts w:eastAsia="Times New Roman" w:cs="Arial"/>
                <w:i/>
                <w:iCs/>
                <w:color w:val="000000"/>
                <w:sz w:val="24"/>
                <w:szCs w:val="24"/>
                <w:lang w:eastAsia="en-AU"/>
              </w:rPr>
              <w:t xml:space="preserve">Strong start, Great teachers </w:t>
            </w:r>
            <w:r w:rsidRPr="009608EB">
              <w:rPr>
                <w:rFonts w:eastAsia="Times New Roman" w:cs="Arial"/>
                <w:color w:val="000000"/>
                <w:sz w:val="24"/>
                <w:szCs w:val="24"/>
                <w:lang w:eastAsia="en-AU"/>
              </w:rPr>
              <w:t>provides information, advice, guidance and ideas that can be used by schools to create customised, informed induction programs to meet the needs of permanent, temporary and beginning teachers.</w:t>
            </w:r>
          </w:p>
        </w:tc>
        <w:tc>
          <w:tcPr>
            <w:tcW w:w="8505" w:type="dxa"/>
            <w:vAlign w:val="center"/>
          </w:tcPr>
          <w:p w:rsidR="005424DC" w:rsidRPr="009608EB" w:rsidRDefault="005424DC"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8" w:history="1">
              <w:r w:rsidRPr="009608EB">
                <w:rPr>
                  <w:rStyle w:val="Hyperlink"/>
                  <w:b/>
                  <w:color w:val="000000" w:themeColor="text1"/>
                  <w:sz w:val="24"/>
                  <w:szCs w:val="24"/>
                </w:rPr>
                <w:t>http://www.ssgt.nsw.edu.au/</w:t>
              </w:r>
            </w:hyperlink>
          </w:p>
        </w:tc>
      </w:tr>
      <w:tr w:rsidR="00063ABF" w:rsidTr="009608EB">
        <w:trPr>
          <w:trHeight w:val="1698"/>
        </w:trPr>
        <w:tc>
          <w:tcPr>
            <w:cnfStyle w:val="001000000000" w:firstRow="0" w:lastRow="0" w:firstColumn="1" w:lastColumn="0" w:oddVBand="0" w:evenVBand="0" w:oddHBand="0" w:evenHBand="0" w:firstRowFirstColumn="0" w:firstRowLastColumn="0" w:lastRowFirstColumn="0" w:lastRowLastColumn="0"/>
            <w:tcW w:w="2883" w:type="dxa"/>
            <w:vAlign w:val="center"/>
          </w:tcPr>
          <w:p w:rsidR="00063ABF" w:rsidRPr="00C9174A" w:rsidRDefault="00636861" w:rsidP="00C9174A">
            <w:pPr>
              <w:jc w:val="center"/>
              <w:rPr>
                <w:b w:val="0"/>
                <w:sz w:val="34"/>
              </w:rPr>
            </w:pPr>
            <w:r w:rsidRPr="00C9174A">
              <w:rPr>
                <w:rStyle w:val="Hyperlink"/>
                <w:color w:val="FFFFFF" w:themeColor="background1"/>
                <w:sz w:val="34"/>
                <w:u w:val="none"/>
              </w:rPr>
              <w:t>Australian Charter for Professional Learning for Teachers</w:t>
            </w:r>
          </w:p>
        </w:tc>
        <w:tc>
          <w:tcPr>
            <w:tcW w:w="4313" w:type="dxa"/>
            <w:vAlign w:val="center"/>
          </w:tcPr>
          <w:p w:rsidR="00063ABF" w:rsidRPr="009608EB" w:rsidRDefault="00636861" w:rsidP="009608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wiss721BT-Light"/>
                <w:sz w:val="24"/>
                <w:szCs w:val="24"/>
              </w:rPr>
            </w:pPr>
            <w:r w:rsidRPr="009608EB">
              <w:rPr>
                <w:rFonts w:cs="Swiss721BT-Light"/>
                <w:sz w:val="24"/>
                <w:szCs w:val="24"/>
              </w:rPr>
              <w:t>The Charter describes the importance and characteristics of high quality professional learning in improving teacher and school leader practice.</w:t>
            </w:r>
          </w:p>
        </w:tc>
        <w:tc>
          <w:tcPr>
            <w:tcW w:w="8505" w:type="dxa"/>
            <w:vAlign w:val="center"/>
          </w:tcPr>
          <w:p w:rsidR="00063ABF" w:rsidRPr="009608EB" w:rsidRDefault="008C656A"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9" w:history="1">
              <w:r w:rsidR="00636861" w:rsidRPr="009608EB">
                <w:rPr>
                  <w:rStyle w:val="Hyperlink"/>
                  <w:b/>
                  <w:color w:val="000000" w:themeColor="text1"/>
                  <w:sz w:val="24"/>
                  <w:szCs w:val="24"/>
                </w:rPr>
                <w:t>http://www.aitsl.edu.au/docs/default-source/default-document-library/australian_charter_for_the_professional_learning_of_teachers_and_school_leaders</w:t>
              </w:r>
            </w:hyperlink>
          </w:p>
        </w:tc>
      </w:tr>
      <w:tr w:rsidR="00063ABF" w:rsidTr="002F1EDE">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2883" w:type="dxa"/>
            <w:vAlign w:val="center"/>
          </w:tcPr>
          <w:p w:rsidR="00063ABF" w:rsidRDefault="00636861" w:rsidP="002F1EDE">
            <w:pPr>
              <w:jc w:val="center"/>
              <w:rPr>
                <w:sz w:val="34"/>
              </w:rPr>
            </w:pPr>
            <w:r w:rsidRPr="00C9174A">
              <w:rPr>
                <w:sz w:val="34"/>
              </w:rPr>
              <w:lastRenderedPageBreak/>
              <w:t xml:space="preserve">BOSTES </w:t>
            </w:r>
          </w:p>
          <w:p w:rsidR="002F1EDE" w:rsidRPr="002F1EDE" w:rsidRDefault="002F1EDE" w:rsidP="002F1EDE">
            <w:pPr>
              <w:jc w:val="center"/>
              <w:rPr>
                <w:b w:val="0"/>
                <w:sz w:val="34"/>
              </w:rPr>
            </w:pPr>
            <w:r w:rsidRPr="002F1EDE">
              <w:rPr>
                <w:b w:val="0"/>
                <w:sz w:val="34"/>
              </w:rPr>
              <w:t>(accreditation resources)</w:t>
            </w:r>
          </w:p>
        </w:tc>
        <w:tc>
          <w:tcPr>
            <w:tcW w:w="4313" w:type="dxa"/>
            <w:vAlign w:val="center"/>
          </w:tcPr>
          <w:p w:rsidR="00063ABF" w:rsidRPr="009608EB" w:rsidRDefault="00636861" w:rsidP="002F1EDE">
            <w:pPr>
              <w:cnfStyle w:val="000000100000" w:firstRow="0" w:lastRow="0" w:firstColumn="0" w:lastColumn="0" w:oddVBand="0" w:evenVBand="0" w:oddHBand="1" w:evenHBand="0" w:firstRowFirstColumn="0" w:firstRowLastColumn="0" w:lastRowFirstColumn="0" w:lastRowLastColumn="0"/>
              <w:rPr>
                <w:b/>
                <w:sz w:val="24"/>
                <w:szCs w:val="24"/>
              </w:rPr>
            </w:pPr>
            <w:r w:rsidRPr="009608EB">
              <w:rPr>
                <w:sz w:val="24"/>
                <w:szCs w:val="24"/>
              </w:rPr>
              <w:t xml:space="preserve">This </w:t>
            </w:r>
            <w:r w:rsidR="002F1EDE">
              <w:rPr>
                <w:sz w:val="24"/>
                <w:szCs w:val="24"/>
              </w:rPr>
              <w:t>website provides teachers, supervisors and principals as TAA with a range of resources, templates and support documents relating to accreditation.</w:t>
            </w:r>
          </w:p>
        </w:tc>
        <w:tc>
          <w:tcPr>
            <w:tcW w:w="8505" w:type="dxa"/>
            <w:vAlign w:val="center"/>
          </w:tcPr>
          <w:p w:rsidR="00063ABF" w:rsidRPr="002F1EDE" w:rsidRDefault="002F1EDE" w:rsidP="002F1EDE">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10" w:history="1">
              <w:r w:rsidRPr="002F1EDE">
                <w:rPr>
                  <w:rStyle w:val="Hyperlink"/>
                  <w:b/>
                  <w:color w:val="000000" w:themeColor="text1"/>
                  <w:sz w:val="24"/>
                  <w:szCs w:val="24"/>
                </w:rPr>
                <w:t>http://www.nswteachers.nsw.edu.au</w:t>
              </w:r>
            </w:hyperlink>
            <w:r w:rsidRPr="002F1EDE">
              <w:rPr>
                <w:b/>
                <w:color w:val="000000" w:themeColor="text1"/>
                <w:sz w:val="24"/>
                <w:szCs w:val="24"/>
              </w:rPr>
              <w:t xml:space="preserve">  </w:t>
            </w:r>
          </w:p>
        </w:tc>
      </w:tr>
      <w:tr w:rsidR="00063ABF" w:rsidTr="002F1EDE">
        <w:trPr>
          <w:trHeight w:val="1942"/>
        </w:trPr>
        <w:tc>
          <w:tcPr>
            <w:cnfStyle w:val="001000000000" w:firstRow="0" w:lastRow="0" w:firstColumn="1" w:lastColumn="0" w:oddVBand="0" w:evenVBand="0" w:oddHBand="0" w:evenHBand="0" w:firstRowFirstColumn="0" w:firstRowLastColumn="0" w:lastRowFirstColumn="0" w:lastRowLastColumn="0"/>
            <w:tcW w:w="2883" w:type="dxa"/>
            <w:vAlign w:val="center"/>
          </w:tcPr>
          <w:p w:rsidR="00063ABF" w:rsidRDefault="00636861" w:rsidP="00C9174A">
            <w:pPr>
              <w:jc w:val="center"/>
              <w:rPr>
                <w:sz w:val="34"/>
                <w:szCs w:val="24"/>
              </w:rPr>
            </w:pPr>
            <w:r w:rsidRPr="00C9174A">
              <w:rPr>
                <w:sz w:val="34"/>
                <w:szCs w:val="24"/>
              </w:rPr>
              <w:t>BOSTES</w:t>
            </w:r>
          </w:p>
          <w:p w:rsidR="002F1EDE" w:rsidRPr="002F1EDE" w:rsidRDefault="002F1EDE" w:rsidP="00C9174A">
            <w:pPr>
              <w:jc w:val="center"/>
              <w:rPr>
                <w:b w:val="0"/>
                <w:bCs w:val="0"/>
                <w:sz w:val="34"/>
                <w:szCs w:val="24"/>
              </w:rPr>
            </w:pPr>
            <w:r w:rsidRPr="002F1EDE">
              <w:rPr>
                <w:b w:val="0"/>
                <w:sz w:val="34"/>
                <w:szCs w:val="24"/>
              </w:rPr>
              <w:t>(curriculum resources)</w:t>
            </w:r>
          </w:p>
        </w:tc>
        <w:tc>
          <w:tcPr>
            <w:tcW w:w="4313" w:type="dxa"/>
            <w:vAlign w:val="center"/>
          </w:tcPr>
          <w:p w:rsidR="00063ABF" w:rsidRPr="009608EB" w:rsidRDefault="00636861" w:rsidP="009608EB">
            <w:pPr>
              <w:cnfStyle w:val="000000000000" w:firstRow="0" w:lastRow="0" w:firstColumn="0" w:lastColumn="0" w:oddVBand="0" w:evenVBand="0" w:oddHBand="0" w:evenHBand="0" w:firstRowFirstColumn="0" w:firstRowLastColumn="0" w:lastRowFirstColumn="0" w:lastRowLastColumn="0"/>
              <w:rPr>
                <w:sz w:val="24"/>
                <w:szCs w:val="24"/>
              </w:rPr>
            </w:pPr>
            <w:r w:rsidRPr="009608EB">
              <w:rPr>
                <w:sz w:val="24"/>
                <w:szCs w:val="24"/>
              </w:rPr>
              <w:t>The NSW Board of Studies has Essential Educational Resources for Australian Teachers and Students. By registering you can receive the regular BoS Bulletins provide current information on syllabus documents, resources and strategies.</w:t>
            </w:r>
          </w:p>
        </w:tc>
        <w:tc>
          <w:tcPr>
            <w:tcW w:w="8505" w:type="dxa"/>
            <w:vAlign w:val="center"/>
          </w:tcPr>
          <w:p w:rsidR="00063ABF" w:rsidRPr="002F1EDE" w:rsidRDefault="008C656A"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11" w:history="1">
              <w:r w:rsidR="00636861" w:rsidRPr="002F1EDE">
                <w:rPr>
                  <w:rStyle w:val="Hyperlink"/>
                  <w:b/>
                  <w:color w:val="000000" w:themeColor="text1"/>
                  <w:sz w:val="24"/>
                  <w:szCs w:val="24"/>
                </w:rPr>
                <w:t>http://www.boardofstudies.nsw.edu.au/</w:t>
              </w:r>
            </w:hyperlink>
          </w:p>
        </w:tc>
      </w:tr>
      <w:tr w:rsidR="00636861" w:rsidTr="009608EB">
        <w:trPr>
          <w:cnfStyle w:val="000000100000" w:firstRow="0" w:lastRow="0" w:firstColumn="0" w:lastColumn="0" w:oddVBand="0" w:evenVBand="0" w:oddHBand="1" w:evenHBand="0" w:firstRowFirstColumn="0" w:firstRowLastColumn="0" w:lastRowFirstColumn="0" w:lastRowLastColumn="0"/>
          <w:trHeight w:val="1958"/>
        </w:trPr>
        <w:tc>
          <w:tcPr>
            <w:cnfStyle w:val="001000000000" w:firstRow="0" w:lastRow="0" w:firstColumn="1" w:lastColumn="0" w:oddVBand="0" w:evenVBand="0" w:oddHBand="0" w:evenHBand="0" w:firstRowFirstColumn="0" w:firstRowLastColumn="0" w:lastRowFirstColumn="0" w:lastRowLastColumn="0"/>
            <w:tcW w:w="2883" w:type="dxa"/>
            <w:vAlign w:val="center"/>
          </w:tcPr>
          <w:p w:rsidR="00C9174A" w:rsidRDefault="00636861" w:rsidP="00C9174A">
            <w:pPr>
              <w:jc w:val="center"/>
              <w:rPr>
                <w:sz w:val="34"/>
                <w:szCs w:val="24"/>
              </w:rPr>
            </w:pPr>
            <w:r w:rsidRPr="00C9174A">
              <w:rPr>
                <w:sz w:val="34"/>
                <w:szCs w:val="24"/>
              </w:rPr>
              <w:t xml:space="preserve">Implementing </w:t>
            </w:r>
          </w:p>
          <w:p w:rsidR="00636861" w:rsidRPr="00C9174A" w:rsidRDefault="00C9174A" w:rsidP="00C9174A">
            <w:pPr>
              <w:jc w:val="center"/>
              <w:rPr>
                <w:b w:val="0"/>
                <w:bCs w:val="0"/>
                <w:sz w:val="34"/>
                <w:szCs w:val="24"/>
              </w:rPr>
            </w:pPr>
            <w:r>
              <w:rPr>
                <w:sz w:val="34"/>
                <w:szCs w:val="24"/>
              </w:rPr>
              <w:t>New C</w:t>
            </w:r>
            <w:r w:rsidR="00636861" w:rsidRPr="00C9174A">
              <w:rPr>
                <w:sz w:val="34"/>
                <w:szCs w:val="24"/>
              </w:rPr>
              <w:t>urriculum</w:t>
            </w:r>
            <w:r w:rsidR="008C656A" w:rsidRPr="00C9174A">
              <w:rPr>
                <w:sz w:val="34"/>
                <w:szCs w:val="24"/>
              </w:rPr>
              <w:t>s</w:t>
            </w:r>
          </w:p>
        </w:tc>
        <w:tc>
          <w:tcPr>
            <w:tcW w:w="4313" w:type="dxa"/>
            <w:vAlign w:val="center"/>
          </w:tcPr>
          <w:p w:rsidR="00636861" w:rsidRPr="009608EB" w:rsidRDefault="00636861" w:rsidP="009608EB">
            <w:pPr>
              <w:cnfStyle w:val="000000100000" w:firstRow="0" w:lastRow="0" w:firstColumn="0" w:lastColumn="0" w:oddVBand="0" w:evenVBand="0" w:oddHBand="1" w:evenHBand="0" w:firstRowFirstColumn="0" w:firstRowLastColumn="0" w:lastRowFirstColumn="0" w:lastRowLastColumn="0"/>
              <w:rPr>
                <w:sz w:val="24"/>
                <w:szCs w:val="24"/>
              </w:rPr>
            </w:pPr>
            <w:r w:rsidRPr="009608EB">
              <w:rPr>
                <w:sz w:val="24"/>
                <w:szCs w:val="24"/>
              </w:rPr>
              <w:t>The registered courses found by following the link below are designed to assist with the implementation of the new curriculum. They can be completed individually or in collaborative groups such as your group</w:t>
            </w:r>
          </w:p>
        </w:tc>
        <w:tc>
          <w:tcPr>
            <w:tcW w:w="8505" w:type="dxa"/>
            <w:vAlign w:val="center"/>
          </w:tcPr>
          <w:p w:rsidR="00636861" w:rsidRPr="002F1EDE" w:rsidRDefault="00636861"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p>
          <w:p w:rsidR="005424DC" w:rsidRPr="002F1EDE" w:rsidRDefault="008C656A"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12" w:history="1">
              <w:r w:rsidRPr="002F1EDE">
                <w:rPr>
                  <w:rStyle w:val="Hyperlink"/>
                  <w:b/>
                  <w:color w:val="000000" w:themeColor="text1"/>
                  <w:sz w:val="24"/>
                  <w:szCs w:val="24"/>
                </w:rPr>
                <w:t>https://detwww.det.nsw.edu.au/australiancurriculuminnsw/professional-learning/curriculum</w:t>
              </w:r>
            </w:hyperlink>
          </w:p>
        </w:tc>
      </w:tr>
      <w:tr w:rsidR="00063ABF" w:rsidTr="009608EB">
        <w:trPr>
          <w:trHeight w:val="851"/>
        </w:trPr>
        <w:tc>
          <w:tcPr>
            <w:cnfStyle w:val="001000000000" w:firstRow="0" w:lastRow="0" w:firstColumn="1" w:lastColumn="0" w:oddVBand="0" w:evenVBand="0" w:oddHBand="0" w:evenHBand="0" w:firstRowFirstColumn="0" w:firstRowLastColumn="0" w:lastRowFirstColumn="0" w:lastRowLastColumn="0"/>
            <w:tcW w:w="2883" w:type="dxa"/>
            <w:vAlign w:val="center"/>
          </w:tcPr>
          <w:p w:rsidR="005424DC" w:rsidRPr="002F1EDE" w:rsidRDefault="00636861" w:rsidP="00C9174A">
            <w:pPr>
              <w:jc w:val="center"/>
              <w:rPr>
                <w:b w:val="0"/>
                <w:bCs w:val="0"/>
                <w:color w:val="auto"/>
                <w:sz w:val="24"/>
                <w:szCs w:val="24"/>
              </w:rPr>
            </w:pPr>
            <w:r w:rsidRPr="002F1EDE">
              <w:rPr>
                <w:sz w:val="34"/>
                <w:szCs w:val="24"/>
              </w:rPr>
              <w:t>Differentiated Learning</w:t>
            </w:r>
          </w:p>
        </w:tc>
        <w:tc>
          <w:tcPr>
            <w:tcW w:w="4313" w:type="dxa"/>
            <w:vAlign w:val="center"/>
          </w:tcPr>
          <w:p w:rsidR="00063ABF" w:rsidRPr="009608EB" w:rsidRDefault="002F1EDE" w:rsidP="009608EB">
            <w:pPr>
              <w:cnfStyle w:val="000000000000" w:firstRow="0" w:lastRow="0" w:firstColumn="0" w:lastColumn="0" w:oddVBand="0" w:evenVBand="0" w:oddHBand="0" w:evenHBand="0" w:firstRowFirstColumn="0" w:firstRowLastColumn="0" w:lastRowFirstColumn="0" w:lastRowLastColumn="0"/>
              <w:rPr>
                <w:sz w:val="24"/>
                <w:szCs w:val="24"/>
              </w:rPr>
            </w:pPr>
            <w:r w:rsidRPr="002F1EDE">
              <w:rPr>
                <w:sz w:val="24"/>
                <w:szCs w:val="24"/>
              </w:rPr>
              <w:t>Participants will demonstrate their understanding of key principles and concepts underpinning differentiated learning by creating a new, or modifying an existing, unit of learning.</w:t>
            </w:r>
          </w:p>
        </w:tc>
        <w:tc>
          <w:tcPr>
            <w:tcW w:w="8505" w:type="dxa"/>
            <w:vAlign w:val="center"/>
          </w:tcPr>
          <w:p w:rsidR="00063ABF" w:rsidRPr="002F1EDE" w:rsidRDefault="00831F12"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13" w:history="1">
              <w:r w:rsidR="00636861" w:rsidRPr="002F1EDE">
                <w:rPr>
                  <w:rStyle w:val="Hyperlink"/>
                  <w:b/>
                  <w:color w:val="000000" w:themeColor="text1"/>
                  <w:sz w:val="24"/>
                  <w:szCs w:val="24"/>
                </w:rPr>
                <w:t>http://lrr.cli.det</w:t>
              </w:r>
              <w:r w:rsidR="00636861" w:rsidRPr="002F1EDE">
                <w:rPr>
                  <w:rStyle w:val="Hyperlink"/>
                  <w:b/>
                  <w:color w:val="000000" w:themeColor="text1"/>
                  <w:sz w:val="24"/>
                  <w:szCs w:val="24"/>
                </w:rPr>
                <w:t>.</w:t>
              </w:r>
              <w:r w:rsidR="00636861" w:rsidRPr="002F1EDE">
                <w:rPr>
                  <w:rStyle w:val="Hyperlink"/>
                  <w:b/>
                  <w:color w:val="000000" w:themeColor="text1"/>
                  <w:sz w:val="24"/>
                  <w:szCs w:val="24"/>
                </w:rPr>
                <w:t>nsw.edu.au/LRRView/14507/index.htm</w:t>
              </w:r>
            </w:hyperlink>
          </w:p>
        </w:tc>
      </w:tr>
      <w:tr w:rsidR="00636861" w:rsidTr="002F1EDE">
        <w:trPr>
          <w:cnfStyle w:val="000000100000" w:firstRow="0" w:lastRow="0" w:firstColumn="0" w:lastColumn="0" w:oddVBand="0" w:evenVBand="0" w:oddHBand="1" w:evenHBand="0" w:firstRowFirstColumn="0" w:firstRowLastColumn="0" w:lastRowFirstColumn="0" w:lastRowLastColumn="0"/>
          <w:trHeight w:val="1667"/>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36861" w:rsidRPr="002F1EDE" w:rsidRDefault="00C9174A" w:rsidP="002F1EDE">
            <w:pPr>
              <w:jc w:val="center"/>
              <w:rPr>
                <w:b w:val="0"/>
                <w:bCs w:val="0"/>
                <w:sz w:val="34"/>
                <w:szCs w:val="24"/>
              </w:rPr>
            </w:pPr>
            <w:r>
              <w:rPr>
                <w:sz w:val="34"/>
                <w:szCs w:val="24"/>
              </w:rPr>
              <w:t>Literacy and N</w:t>
            </w:r>
            <w:r w:rsidR="00636861" w:rsidRPr="00C9174A">
              <w:rPr>
                <w:sz w:val="34"/>
                <w:szCs w:val="24"/>
              </w:rPr>
              <w:t>umeracy K-10</w:t>
            </w:r>
            <w:bookmarkStart w:id="0" w:name="_GoBack"/>
            <w:bookmarkEnd w:id="0"/>
          </w:p>
        </w:tc>
        <w:tc>
          <w:tcPr>
            <w:tcW w:w="4313" w:type="dxa"/>
            <w:vAlign w:val="center"/>
          </w:tcPr>
          <w:p w:rsidR="00636861" w:rsidRPr="009608EB" w:rsidRDefault="00636861" w:rsidP="002F1EDE">
            <w:pPr>
              <w:cnfStyle w:val="000000100000" w:firstRow="0" w:lastRow="0" w:firstColumn="0" w:lastColumn="0" w:oddVBand="0" w:evenVBand="0" w:oddHBand="1" w:evenHBand="0" w:firstRowFirstColumn="0" w:firstRowLastColumn="0" w:lastRowFirstColumn="0" w:lastRowLastColumn="0"/>
              <w:rPr>
                <w:sz w:val="24"/>
                <w:szCs w:val="24"/>
              </w:rPr>
            </w:pPr>
            <w:r w:rsidRPr="009608EB">
              <w:rPr>
                <w:sz w:val="24"/>
                <w:szCs w:val="24"/>
              </w:rPr>
              <w:t>There are many resources available to support teachers in learn</w:t>
            </w:r>
            <w:r w:rsidR="002F1EDE">
              <w:rPr>
                <w:sz w:val="24"/>
                <w:szCs w:val="24"/>
              </w:rPr>
              <w:t>ing how to effectively use the l</w:t>
            </w:r>
            <w:r w:rsidRPr="009608EB">
              <w:rPr>
                <w:sz w:val="24"/>
                <w:szCs w:val="24"/>
              </w:rPr>
              <w:t>ite</w:t>
            </w:r>
            <w:r w:rsidR="002F1EDE">
              <w:rPr>
                <w:sz w:val="24"/>
                <w:szCs w:val="24"/>
              </w:rPr>
              <w:t xml:space="preserve">racy and numeracy initiatives </w:t>
            </w:r>
            <w:r w:rsidRPr="009608EB">
              <w:rPr>
                <w:sz w:val="24"/>
                <w:szCs w:val="24"/>
              </w:rPr>
              <w:t xml:space="preserve">to assess, plan and teach literacy in their context. </w:t>
            </w:r>
          </w:p>
        </w:tc>
        <w:tc>
          <w:tcPr>
            <w:tcW w:w="8505" w:type="dxa"/>
            <w:vAlign w:val="center"/>
          </w:tcPr>
          <w:p w:rsidR="00636861" w:rsidRPr="009608EB" w:rsidRDefault="002F1EDE"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14" w:history="1">
              <w:r w:rsidR="005424DC" w:rsidRPr="009608EB">
                <w:rPr>
                  <w:rStyle w:val="Hyperlink"/>
                  <w:b/>
                  <w:color w:val="000000" w:themeColor="text1"/>
                  <w:sz w:val="24"/>
                  <w:szCs w:val="24"/>
                </w:rPr>
                <w:t>http://www.curriculumsupport.education.nsw.gov.au/literacy/</w:t>
              </w:r>
            </w:hyperlink>
          </w:p>
        </w:tc>
      </w:tr>
      <w:tr w:rsidR="00636861" w:rsidTr="009608EB">
        <w:tc>
          <w:tcPr>
            <w:cnfStyle w:val="001000000000" w:firstRow="0" w:lastRow="0" w:firstColumn="1" w:lastColumn="0" w:oddVBand="0" w:evenVBand="0" w:oddHBand="0" w:evenHBand="0" w:firstRowFirstColumn="0" w:firstRowLastColumn="0" w:lastRowFirstColumn="0" w:lastRowLastColumn="0"/>
            <w:tcW w:w="2883" w:type="dxa"/>
            <w:vAlign w:val="center"/>
          </w:tcPr>
          <w:p w:rsidR="00636861" w:rsidRPr="00C9174A" w:rsidRDefault="00C9174A" w:rsidP="009608EB">
            <w:pPr>
              <w:jc w:val="center"/>
              <w:rPr>
                <w:sz w:val="34"/>
              </w:rPr>
            </w:pPr>
            <w:r>
              <w:rPr>
                <w:sz w:val="34"/>
                <w:szCs w:val="24"/>
              </w:rPr>
              <w:t>The Literacy C</w:t>
            </w:r>
            <w:r w:rsidR="00686196" w:rsidRPr="00C9174A">
              <w:rPr>
                <w:sz w:val="34"/>
                <w:szCs w:val="24"/>
              </w:rPr>
              <w:t>ontinuum</w:t>
            </w:r>
          </w:p>
        </w:tc>
        <w:tc>
          <w:tcPr>
            <w:tcW w:w="4313" w:type="dxa"/>
            <w:vAlign w:val="center"/>
          </w:tcPr>
          <w:p w:rsidR="00636861" w:rsidRPr="009608EB" w:rsidRDefault="009608EB" w:rsidP="009608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Interactive Literacy Continuum</w:t>
            </w:r>
          </w:p>
        </w:tc>
        <w:tc>
          <w:tcPr>
            <w:tcW w:w="8505" w:type="dxa"/>
            <w:vAlign w:val="center"/>
          </w:tcPr>
          <w:p w:rsidR="00636861" w:rsidRPr="009608EB" w:rsidRDefault="00831F12"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15" w:history="1">
              <w:r w:rsidR="00686196" w:rsidRPr="009608EB">
                <w:rPr>
                  <w:rStyle w:val="Hyperlink"/>
                  <w:b/>
                  <w:color w:val="000000" w:themeColor="text1"/>
                  <w:sz w:val="24"/>
                  <w:szCs w:val="24"/>
                </w:rPr>
                <w:t>http://www.literacy-continuum.det.nsw.edu.au/Matrix</w:t>
              </w:r>
            </w:hyperlink>
          </w:p>
        </w:tc>
      </w:tr>
      <w:tr w:rsidR="00636861" w:rsidTr="00960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36861" w:rsidRPr="00C9174A" w:rsidRDefault="00686196" w:rsidP="009608EB">
            <w:pPr>
              <w:jc w:val="center"/>
              <w:rPr>
                <w:sz w:val="34"/>
              </w:rPr>
            </w:pPr>
            <w:r w:rsidRPr="00C9174A">
              <w:rPr>
                <w:sz w:val="34"/>
                <w:szCs w:val="24"/>
              </w:rPr>
              <w:t xml:space="preserve">The Numeracy </w:t>
            </w:r>
            <w:r w:rsidR="00C9174A">
              <w:rPr>
                <w:sz w:val="34"/>
                <w:szCs w:val="24"/>
              </w:rPr>
              <w:t>C</w:t>
            </w:r>
            <w:r w:rsidRPr="00C9174A">
              <w:rPr>
                <w:sz w:val="34"/>
                <w:szCs w:val="24"/>
              </w:rPr>
              <w:t>ontinuum</w:t>
            </w:r>
          </w:p>
        </w:tc>
        <w:tc>
          <w:tcPr>
            <w:tcW w:w="4313" w:type="dxa"/>
            <w:vAlign w:val="center"/>
          </w:tcPr>
          <w:p w:rsidR="00636861" w:rsidRPr="009608EB" w:rsidRDefault="009608EB" w:rsidP="009608E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Interactive </w:t>
            </w:r>
            <w:r>
              <w:rPr>
                <w:sz w:val="24"/>
                <w:szCs w:val="24"/>
              </w:rPr>
              <w:t>Numeracy</w:t>
            </w:r>
            <w:r>
              <w:rPr>
                <w:sz w:val="24"/>
                <w:szCs w:val="24"/>
              </w:rPr>
              <w:t xml:space="preserve"> Continuum</w:t>
            </w:r>
          </w:p>
        </w:tc>
        <w:tc>
          <w:tcPr>
            <w:tcW w:w="8505" w:type="dxa"/>
            <w:vAlign w:val="center"/>
          </w:tcPr>
          <w:p w:rsidR="00636861" w:rsidRPr="009608EB" w:rsidRDefault="00831F12"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16" w:history="1">
              <w:r w:rsidR="00686196" w:rsidRPr="009608EB">
                <w:rPr>
                  <w:rStyle w:val="Hyperlink"/>
                  <w:b/>
                  <w:color w:val="000000" w:themeColor="text1"/>
                  <w:sz w:val="24"/>
                  <w:szCs w:val="24"/>
                </w:rPr>
                <w:t>http://numeracycontinuum.com/</w:t>
              </w:r>
            </w:hyperlink>
          </w:p>
        </w:tc>
      </w:tr>
      <w:tr w:rsidR="00636861" w:rsidTr="009608EB">
        <w:tc>
          <w:tcPr>
            <w:cnfStyle w:val="001000000000" w:firstRow="0" w:lastRow="0" w:firstColumn="1" w:lastColumn="0" w:oddVBand="0" w:evenVBand="0" w:oddHBand="0" w:evenHBand="0" w:firstRowFirstColumn="0" w:firstRowLastColumn="0" w:lastRowFirstColumn="0" w:lastRowLastColumn="0"/>
            <w:tcW w:w="2883" w:type="dxa"/>
            <w:vAlign w:val="center"/>
          </w:tcPr>
          <w:p w:rsidR="00636861" w:rsidRPr="00C9174A" w:rsidRDefault="00686196" w:rsidP="00C9174A">
            <w:pPr>
              <w:jc w:val="center"/>
              <w:rPr>
                <w:b w:val="0"/>
                <w:sz w:val="34"/>
                <w:szCs w:val="24"/>
              </w:rPr>
            </w:pPr>
            <w:r w:rsidRPr="00C9174A">
              <w:rPr>
                <w:sz w:val="34"/>
                <w:szCs w:val="24"/>
              </w:rPr>
              <w:lastRenderedPageBreak/>
              <w:t>School Libraries and Information Literacy</w:t>
            </w:r>
          </w:p>
        </w:tc>
        <w:tc>
          <w:tcPr>
            <w:tcW w:w="4313" w:type="dxa"/>
            <w:vAlign w:val="center"/>
          </w:tcPr>
          <w:p w:rsidR="00636861" w:rsidRPr="009608EB" w:rsidRDefault="002F1EDE" w:rsidP="002F1EDE">
            <w:pPr>
              <w:cnfStyle w:val="000000000000" w:firstRow="0" w:lastRow="0" w:firstColumn="0" w:lastColumn="0" w:oddVBand="0" w:evenVBand="0" w:oddHBand="0" w:evenHBand="0" w:firstRowFirstColumn="0" w:firstRowLastColumn="0" w:lastRowFirstColumn="0" w:lastRowLastColumn="0"/>
              <w:rPr>
                <w:sz w:val="24"/>
                <w:szCs w:val="24"/>
              </w:rPr>
            </w:pPr>
            <w:r w:rsidRPr="002F1EDE">
              <w:rPr>
                <w:sz w:val="24"/>
                <w:szCs w:val="24"/>
              </w:rPr>
              <w:t>Explore t</w:t>
            </w:r>
            <w:r>
              <w:rPr>
                <w:sz w:val="24"/>
                <w:szCs w:val="24"/>
              </w:rPr>
              <w:t>his resource</w:t>
            </w:r>
            <w:r w:rsidRPr="002F1EDE">
              <w:rPr>
                <w:sz w:val="24"/>
                <w:szCs w:val="24"/>
              </w:rPr>
              <w:t xml:space="preserve"> for state wide policy advice, practical teaching and learning ideas, using resources and digital tools for exciting learning, programming suggestions for information literacies for all learning areas, resource reviews, and information on SCIS and</w:t>
            </w:r>
            <w:r w:rsidRPr="002F1EDE">
              <w:rPr>
                <w:sz w:val="24"/>
                <w:szCs w:val="24"/>
              </w:rPr>
              <w:t> </w:t>
            </w:r>
            <w:r w:rsidRPr="002F1EDE">
              <w:rPr>
                <w:i/>
                <w:sz w:val="24"/>
                <w:szCs w:val="24"/>
              </w:rPr>
              <w:t>Scan</w:t>
            </w:r>
            <w:r w:rsidRPr="002F1EDE">
              <w:rPr>
                <w:sz w:val="24"/>
                <w:szCs w:val="24"/>
              </w:rPr>
              <w:t>.</w:t>
            </w:r>
          </w:p>
        </w:tc>
        <w:tc>
          <w:tcPr>
            <w:tcW w:w="8505" w:type="dxa"/>
            <w:vAlign w:val="center"/>
          </w:tcPr>
          <w:p w:rsidR="00636861" w:rsidRPr="009608EB" w:rsidRDefault="00831F12"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17" w:history="1">
              <w:r w:rsidR="00686196" w:rsidRPr="009608EB">
                <w:rPr>
                  <w:rStyle w:val="Hyperlink"/>
                  <w:b/>
                  <w:color w:val="000000" w:themeColor="text1"/>
                  <w:sz w:val="24"/>
                  <w:szCs w:val="24"/>
                </w:rPr>
                <w:t>http://www.curriculumsupport.e</w:t>
              </w:r>
              <w:r w:rsidR="00686196" w:rsidRPr="009608EB">
                <w:rPr>
                  <w:rStyle w:val="Hyperlink"/>
                  <w:b/>
                  <w:color w:val="000000" w:themeColor="text1"/>
                  <w:sz w:val="24"/>
                  <w:szCs w:val="24"/>
                </w:rPr>
                <w:t>d</w:t>
              </w:r>
              <w:r w:rsidR="00686196" w:rsidRPr="009608EB">
                <w:rPr>
                  <w:rStyle w:val="Hyperlink"/>
                  <w:b/>
                  <w:color w:val="000000" w:themeColor="text1"/>
                  <w:sz w:val="24"/>
                  <w:szCs w:val="24"/>
                </w:rPr>
                <w:t>ucation.nsw.gov.au/schoollibraries/</w:t>
              </w:r>
            </w:hyperlink>
          </w:p>
        </w:tc>
      </w:tr>
      <w:tr w:rsidR="00686196" w:rsidTr="009608EB">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Pr="00C9174A" w:rsidRDefault="00686196" w:rsidP="00C9174A">
            <w:pPr>
              <w:jc w:val="center"/>
              <w:rPr>
                <w:b w:val="0"/>
                <w:bCs w:val="0"/>
                <w:sz w:val="34"/>
                <w:szCs w:val="24"/>
              </w:rPr>
            </w:pPr>
            <w:r w:rsidRPr="00C9174A">
              <w:rPr>
                <w:sz w:val="34"/>
                <w:szCs w:val="24"/>
              </w:rPr>
              <w:t>DEC Reforms and Priorities Website</w:t>
            </w:r>
          </w:p>
        </w:tc>
        <w:tc>
          <w:tcPr>
            <w:tcW w:w="4313" w:type="dxa"/>
            <w:vAlign w:val="center"/>
          </w:tcPr>
          <w:p w:rsidR="00686196" w:rsidRPr="009608EB" w:rsidRDefault="00686196" w:rsidP="009608EB">
            <w:pPr>
              <w:cnfStyle w:val="000000100000" w:firstRow="0" w:lastRow="0" w:firstColumn="0" w:lastColumn="0" w:oddVBand="0" w:evenVBand="0" w:oddHBand="1" w:evenHBand="0" w:firstRowFirstColumn="0" w:firstRowLastColumn="0" w:lastRowFirstColumn="0" w:lastRowLastColumn="0"/>
              <w:rPr>
                <w:sz w:val="24"/>
                <w:szCs w:val="24"/>
              </w:rPr>
            </w:pPr>
            <w:r w:rsidRPr="009608EB">
              <w:rPr>
                <w:sz w:val="24"/>
                <w:szCs w:val="24"/>
              </w:rPr>
              <w:t>Teaching and learning: This site provides Teaching and learning key links to curriculum support and policy advice for public school teachers.</w:t>
            </w:r>
          </w:p>
        </w:tc>
        <w:tc>
          <w:tcPr>
            <w:tcW w:w="8505" w:type="dxa"/>
            <w:vAlign w:val="center"/>
          </w:tcPr>
          <w:p w:rsidR="00686196" w:rsidRPr="009608EB" w:rsidRDefault="00831F12"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18" w:history="1">
              <w:r w:rsidR="00686196" w:rsidRPr="009608EB">
                <w:rPr>
                  <w:rStyle w:val="Hyperlink"/>
                  <w:b/>
                  <w:color w:val="000000" w:themeColor="text1"/>
                  <w:sz w:val="24"/>
                  <w:szCs w:val="24"/>
                </w:rPr>
                <w:t>https://detwww.det.nsw.edu.au/publicschoolsnsw/teaching-and-learning</w:t>
              </w:r>
            </w:hyperlink>
          </w:p>
        </w:tc>
      </w:tr>
      <w:tr w:rsidR="008C656A" w:rsidTr="009608EB">
        <w:trPr>
          <w:trHeight w:val="2245"/>
        </w:trPr>
        <w:tc>
          <w:tcPr>
            <w:cnfStyle w:val="001000000000" w:firstRow="0" w:lastRow="0" w:firstColumn="1" w:lastColumn="0" w:oddVBand="0" w:evenVBand="0" w:oddHBand="0" w:evenHBand="0" w:firstRowFirstColumn="0" w:firstRowLastColumn="0" w:lastRowFirstColumn="0" w:lastRowLastColumn="0"/>
            <w:tcW w:w="2883" w:type="dxa"/>
            <w:vAlign w:val="center"/>
          </w:tcPr>
          <w:p w:rsidR="008C656A" w:rsidRPr="00C9174A" w:rsidRDefault="003435EE" w:rsidP="00C9174A">
            <w:pPr>
              <w:jc w:val="center"/>
              <w:rPr>
                <w:sz w:val="34"/>
                <w:szCs w:val="24"/>
              </w:rPr>
            </w:pPr>
            <w:r w:rsidRPr="00C9174A">
              <w:rPr>
                <w:sz w:val="34"/>
                <w:szCs w:val="24"/>
              </w:rPr>
              <w:t>Gifted and Talented Education</w:t>
            </w:r>
          </w:p>
        </w:tc>
        <w:tc>
          <w:tcPr>
            <w:tcW w:w="4313" w:type="dxa"/>
            <w:vAlign w:val="center"/>
          </w:tcPr>
          <w:p w:rsidR="008C656A" w:rsidRPr="009608EB" w:rsidRDefault="003435EE" w:rsidP="009608EB">
            <w:pPr>
              <w:cnfStyle w:val="000000000000" w:firstRow="0" w:lastRow="0" w:firstColumn="0" w:lastColumn="0" w:oddVBand="0" w:evenVBand="0" w:oddHBand="0" w:evenHBand="0" w:firstRowFirstColumn="0" w:firstRowLastColumn="0" w:lastRowFirstColumn="0" w:lastRowLastColumn="0"/>
              <w:rPr>
                <w:sz w:val="24"/>
                <w:szCs w:val="24"/>
              </w:rPr>
            </w:pPr>
            <w:r w:rsidRPr="009608EB">
              <w:rPr>
                <w:sz w:val="24"/>
                <w:szCs w:val="24"/>
              </w:rPr>
              <w:t>The Gifted and Talented Unit provides advice and support in the areas of: policy, identification, curriculum - a gifted and talented educational perspective is incorporated in curriculum support materials developed in each Key Learning Area (KLA)</w:t>
            </w:r>
            <w:r w:rsidR="009608EB">
              <w:rPr>
                <w:sz w:val="24"/>
                <w:szCs w:val="24"/>
              </w:rPr>
              <w:t>.</w:t>
            </w:r>
          </w:p>
        </w:tc>
        <w:tc>
          <w:tcPr>
            <w:tcW w:w="8505" w:type="dxa"/>
            <w:vAlign w:val="center"/>
          </w:tcPr>
          <w:p w:rsidR="003435EE" w:rsidRPr="009608EB" w:rsidRDefault="003435EE"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19" w:history="1">
              <w:r w:rsidRPr="009608EB">
                <w:rPr>
                  <w:rStyle w:val="Hyperlink"/>
                  <w:b/>
                  <w:color w:val="000000" w:themeColor="text1"/>
                  <w:sz w:val="24"/>
                  <w:szCs w:val="24"/>
                </w:rPr>
                <w:t>http://www.curriculumsupport.education.nsw.gov.au/policies/gats/index.htm</w:t>
              </w:r>
            </w:hyperlink>
          </w:p>
        </w:tc>
      </w:tr>
      <w:tr w:rsidR="00686196" w:rsidTr="00960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Default="00686196" w:rsidP="00C9174A">
            <w:pPr>
              <w:jc w:val="center"/>
              <w:rPr>
                <w:b w:val="0"/>
                <w:bCs w:val="0"/>
                <w:sz w:val="34"/>
                <w:szCs w:val="24"/>
              </w:rPr>
            </w:pPr>
            <w:r w:rsidRPr="00C9174A">
              <w:rPr>
                <w:sz w:val="34"/>
                <w:szCs w:val="24"/>
              </w:rPr>
              <w:t>Australian Institute for Teaching and School Leadership</w:t>
            </w:r>
          </w:p>
          <w:p w:rsidR="00C9174A" w:rsidRPr="00C9174A" w:rsidRDefault="00C9174A" w:rsidP="00C9174A">
            <w:pPr>
              <w:jc w:val="center"/>
              <w:rPr>
                <w:b w:val="0"/>
                <w:bCs w:val="0"/>
                <w:sz w:val="34"/>
                <w:szCs w:val="24"/>
              </w:rPr>
            </w:pPr>
            <w:r>
              <w:rPr>
                <w:b w:val="0"/>
                <w:bCs w:val="0"/>
                <w:sz w:val="34"/>
                <w:szCs w:val="24"/>
              </w:rPr>
              <w:t>(AITSL)</w:t>
            </w:r>
          </w:p>
        </w:tc>
        <w:tc>
          <w:tcPr>
            <w:tcW w:w="4313" w:type="dxa"/>
            <w:vAlign w:val="center"/>
          </w:tcPr>
          <w:p w:rsidR="00686196" w:rsidRPr="009608EB" w:rsidRDefault="00686196" w:rsidP="009608EB">
            <w:pPr>
              <w:cnfStyle w:val="000000100000" w:firstRow="0" w:lastRow="0" w:firstColumn="0" w:lastColumn="0" w:oddVBand="0" w:evenVBand="0" w:oddHBand="1" w:evenHBand="0" w:firstRowFirstColumn="0" w:firstRowLastColumn="0" w:lastRowFirstColumn="0" w:lastRowLastColumn="0"/>
              <w:rPr>
                <w:bCs/>
                <w:sz w:val="24"/>
                <w:szCs w:val="24"/>
              </w:rPr>
            </w:pPr>
            <w:r w:rsidRPr="009608EB">
              <w:rPr>
                <w:bCs/>
                <w:sz w:val="24"/>
                <w:szCs w:val="24"/>
              </w:rPr>
              <w:t>There are a range of tools and resources to support schools to implement the Standards.</w:t>
            </w:r>
            <w:r w:rsidRPr="009608EB">
              <w:rPr>
                <w:rFonts w:ascii="Arial" w:eastAsiaTheme="minorEastAsia" w:hAnsi="Arial" w:cs="Arial"/>
                <w:color w:val="000000" w:themeColor="text1"/>
                <w:kern w:val="24"/>
                <w:sz w:val="24"/>
                <w:szCs w:val="24"/>
                <w:lang w:eastAsia="en-AU"/>
              </w:rPr>
              <w:t xml:space="preserve"> </w:t>
            </w:r>
            <w:r w:rsidRPr="009608EB">
              <w:rPr>
                <w:bCs/>
                <w:sz w:val="24"/>
                <w:szCs w:val="24"/>
              </w:rPr>
              <w:t>The resources focus on the Standards</w:t>
            </w:r>
            <w:r w:rsidR="003435EE" w:rsidRPr="009608EB">
              <w:rPr>
                <w:bCs/>
                <w:sz w:val="24"/>
                <w:szCs w:val="24"/>
              </w:rPr>
              <w:t xml:space="preserve"> and can be used to demonstrate</w:t>
            </w:r>
            <w:r w:rsidRPr="009608EB">
              <w:rPr>
                <w:bCs/>
                <w:sz w:val="24"/>
                <w:szCs w:val="24"/>
              </w:rPr>
              <w:t xml:space="preserve"> evidence, unpack and/or reflect on the Standards. </w:t>
            </w:r>
          </w:p>
        </w:tc>
        <w:tc>
          <w:tcPr>
            <w:tcW w:w="8505" w:type="dxa"/>
            <w:vAlign w:val="center"/>
          </w:tcPr>
          <w:p w:rsidR="00686196" w:rsidRPr="009608EB" w:rsidRDefault="002F1EDE" w:rsidP="009608EB">
            <w:pPr>
              <w:spacing w:after="120"/>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hyperlink r:id="rId20" w:history="1">
              <w:r w:rsidR="00686196" w:rsidRPr="009608EB">
                <w:rPr>
                  <w:rStyle w:val="Hyperlink"/>
                  <w:b/>
                  <w:bCs/>
                  <w:color w:val="000000" w:themeColor="text1"/>
                  <w:sz w:val="24"/>
                  <w:szCs w:val="24"/>
                </w:rPr>
                <w:t>http://www.aitsl.edu.au/australian-professional-standards-for-teachers/resources/unpacking-the-standards</w:t>
              </w:r>
            </w:hyperlink>
          </w:p>
        </w:tc>
      </w:tr>
      <w:tr w:rsidR="00686196" w:rsidTr="009608EB">
        <w:trPr>
          <w:trHeight w:val="814"/>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Pr="00C9174A" w:rsidRDefault="00C9174A" w:rsidP="00C9174A">
            <w:pPr>
              <w:jc w:val="center"/>
              <w:rPr>
                <w:b w:val="0"/>
                <w:bCs w:val="0"/>
                <w:sz w:val="34"/>
                <w:szCs w:val="24"/>
              </w:rPr>
            </w:pPr>
            <w:r>
              <w:rPr>
                <w:sz w:val="34"/>
                <w:szCs w:val="24"/>
              </w:rPr>
              <w:t>SchoolB</w:t>
            </w:r>
            <w:r w:rsidR="00686196" w:rsidRPr="00C9174A">
              <w:rPr>
                <w:sz w:val="34"/>
                <w:szCs w:val="24"/>
              </w:rPr>
              <w:t>iz</w:t>
            </w:r>
          </w:p>
        </w:tc>
        <w:tc>
          <w:tcPr>
            <w:tcW w:w="4313" w:type="dxa"/>
            <w:vAlign w:val="center"/>
          </w:tcPr>
          <w:p w:rsidR="00686196" w:rsidRPr="009608EB" w:rsidRDefault="00686196" w:rsidP="009608EB">
            <w:pPr>
              <w:cnfStyle w:val="000000000000" w:firstRow="0" w:lastRow="0" w:firstColumn="0" w:lastColumn="0" w:oddVBand="0" w:evenVBand="0" w:oddHBand="0" w:evenHBand="0" w:firstRowFirstColumn="0" w:firstRowLastColumn="0" w:lastRowFirstColumn="0" w:lastRowLastColumn="0"/>
              <w:rPr>
                <w:b/>
                <w:bCs/>
                <w:sz w:val="24"/>
                <w:szCs w:val="24"/>
              </w:rPr>
            </w:pPr>
            <w:r w:rsidRPr="009608EB">
              <w:rPr>
                <w:sz w:val="24"/>
                <w:szCs w:val="24"/>
              </w:rPr>
              <w:t>This is the primary channel for business communication with school staff.</w:t>
            </w:r>
          </w:p>
          <w:p w:rsidR="00686196" w:rsidRPr="009608EB" w:rsidRDefault="00686196" w:rsidP="009608EB">
            <w:pPr>
              <w:cnfStyle w:val="000000000000" w:firstRow="0" w:lastRow="0" w:firstColumn="0" w:lastColumn="0" w:oddVBand="0" w:evenVBand="0" w:oddHBand="0" w:evenHBand="0" w:firstRowFirstColumn="0" w:firstRowLastColumn="0" w:lastRowFirstColumn="0" w:lastRowLastColumn="0"/>
              <w:rPr>
                <w:b/>
                <w:bCs/>
                <w:color w:val="4F81BD"/>
                <w:sz w:val="24"/>
                <w:szCs w:val="24"/>
              </w:rPr>
            </w:pPr>
            <w:r w:rsidRPr="009608EB">
              <w:rPr>
                <w:sz w:val="24"/>
                <w:szCs w:val="24"/>
              </w:rPr>
              <w:t>Inside SchoolBiz you will find important information from state office and your local educational services teams. SchoolBiz is published every Friday during school term, except for the last Friday of each term.</w:t>
            </w:r>
          </w:p>
        </w:tc>
        <w:tc>
          <w:tcPr>
            <w:tcW w:w="8505" w:type="dxa"/>
            <w:vAlign w:val="center"/>
          </w:tcPr>
          <w:p w:rsidR="00686196" w:rsidRPr="009608EB" w:rsidRDefault="008C656A" w:rsidP="009608EB">
            <w:pPr>
              <w:cnfStyle w:val="000000000000" w:firstRow="0" w:lastRow="0" w:firstColumn="0" w:lastColumn="0" w:oddVBand="0" w:evenVBand="0" w:oddHBand="0" w:evenHBand="0" w:firstRowFirstColumn="0" w:firstRowLastColumn="0" w:lastRowFirstColumn="0" w:lastRowLastColumn="0"/>
              <w:rPr>
                <w:b/>
                <w:bCs/>
                <w:vanish/>
                <w:color w:val="000000" w:themeColor="text1"/>
                <w:sz w:val="24"/>
                <w:szCs w:val="24"/>
              </w:rPr>
            </w:pPr>
            <w:hyperlink r:id="rId21" w:history="1">
              <w:r w:rsidR="00686196" w:rsidRPr="009608EB">
                <w:rPr>
                  <w:rStyle w:val="Hyperlink"/>
                  <w:b/>
                  <w:color w:val="000000" w:themeColor="text1"/>
                  <w:sz w:val="24"/>
                  <w:szCs w:val="24"/>
                </w:rPr>
                <w:t>https://detwww.det.nsw.edu.au/communication-and-engagement/schoolbiz</w:t>
              </w:r>
            </w:hyperlink>
          </w:p>
          <w:p w:rsidR="00686196" w:rsidRPr="009608EB" w:rsidRDefault="00686196" w:rsidP="009608EB">
            <w:pPr>
              <w:spacing w:before="270" w:after="240"/>
              <w:cnfStyle w:val="000000000000" w:firstRow="0" w:lastRow="0" w:firstColumn="0" w:lastColumn="0" w:oddVBand="0" w:evenVBand="0" w:oddHBand="0" w:evenHBand="0" w:firstRowFirstColumn="0" w:firstRowLastColumn="0" w:lastRowFirstColumn="0" w:lastRowLastColumn="0"/>
              <w:rPr>
                <w:b/>
                <w:bCs/>
                <w:vanish/>
                <w:color w:val="000000" w:themeColor="text1"/>
                <w:sz w:val="24"/>
                <w:szCs w:val="24"/>
              </w:rPr>
            </w:pPr>
            <w:r w:rsidRPr="009608EB">
              <w:rPr>
                <w:b/>
                <w:bCs/>
                <w:vanish/>
                <w:color w:val="000000" w:themeColor="text1"/>
                <w:sz w:val="24"/>
                <w:szCs w:val="24"/>
              </w:rPr>
              <w:t xml:space="preserve">Curriculum </w:t>
            </w:r>
          </w:p>
          <w:p w:rsidR="00686196" w:rsidRPr="009608EB" w:rsidRDefault="00686196"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p>
        </w:tc>
      </w:tr>
      <w:tr w:rsidR="00686196" w:rsidTr="009608EB">
        <w:trPr>
          <w:cnfStyle w:val="000000100000" w:firstRow="0" w:lastRow="0" w:firstColumn="0" w:lastColumn="0" w:oddVBand="0" w:evenVBand="0" w:oddHBand="1" w:evenHBand="0" w:firstRowFirstColumn="0" w:firstRowLastColumn="0" w:lastRowFirstColumn="0" w:lastRowLastColumn="0"/>
          <w:trHeight w:val="3916"/>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Pr="00C9174A" w:rsidRDefault="00686196" w:rsidP="00C9174A">
            <w:pPr>
              <w:jc w:val="center"/>
              <w:rPr>
                <w:b w:val="0"/>
                <w:bCs w:val="0"/>
                <w:sz w:val="34"/>
                <w:szCs w:val="24"/>
              </w:rPr>
            </w:pPr>
            <w:proofErr w:type="spellStart"/>
            <w:r w:rsidRPr="00C9174A">
              <w:rPr>
                <w:sz w:val="34"/>
                <w:szCs w:val="24"/>
              </w:rPr>
              <w:lastRenderedPageBreak/>
              <w:t>Scootle</w:t>
            </w:r>
            <w:proofErr w:type="spellEnd"/>
          </w:p>
        </w:tc>
        <w:tc>
          <w:tcPr>
            <w:tcW w:w="4313" w:type="dxa"/>
            <w:vAlign w:val="center"/>
          </w:tcPr>
          <w:p w:rsidR="00686196" w:rsidRPr="009608EB" w:rsidRDefault="00686196" w:rsidP="009608EB">
            <w:pPr>
              <w:cnfStyle w:val="000000100000" w:firstRow="0" w:lastRow="0" w:firstColumn="0" w:lastColumn="0" w:oddVBand="0" w:evenVBand="0" w:oddHBand="1" w:evenHBand="0" w:firstRowFirstColumn="0" w:firstRowLastColumn="0" w:lastRowFirstColumn="0" w:lastRowLastColumn="0"/>
              <w:rPr>
                <w:sz w:val="24"/>
                <w:szCs w:val="24"/>
              </w:rPr>
            </w:pPr>
            <w:r w:rsidRPr="009608EB">
              <w:rPr>
                <w:sz w:val="24"/>
                <w:szCs w:val="24"/>
              </w:rPr>
              <w:t xml:space="preserve">The links found by clicking on the link below highlight a growing selection of Department and national </w:t>
            </w:r>
            <w:proofErr w:type="spellStart"/>
            <w:r w:rsidRPr="009608EB">
              <w:rPr>
                <w:sz w:val="24"/>
                <w:szCs w:val="24"/>
              </w:rPr>
              <w:t>Scootle</w:t>
            </w:r>
            <w:proofErr w:type="spellEnd"/>
            <w:r w:rsidRPr="009608EB">
              <w:rPr>
                <w:sz w:val="24"/>
                <w:szCs w:val="24"/>
              </w:rPr>
              <w:t xml:space="preserve"> resources useful in implementing the new NSW syllabuses for the Australian Curriculum. Comprehensive details for principals about the range of literacy and numeracy initiatives developed by the Early Learning and Primary Education are also included as fact sheets. These initiatives support the general capabilities of literacy and numeracy.</w:t>
            </w:r>
          </w:p>
        </w:tc>
        <w:tc>
          <w:tcPr>
            <w:tcW w:w="8505" w:type="dxa"/>
            <w:vAlign w:val="center"/>
          </w:tcPr>
          <w:p w:rsidR="00686196" w:rsidRPr="009608EB" w:rsidRDefault="008C656A"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22" w:history="1">
              <w:r w:rsidR="00686196" w:rsidRPr="009608EB">
                <w:rPr>
                  <w:rStyle w:val="Hyperlink"/>
                  <w:b/>
                  <w:color w:val="000000" w:themeColor="text1"/>
                  <w:sz w:val="24"/>
                  <w:szCs w:val="24"/>
                </w:rPr>
                <w:t>https://detwww.det.nsw.edu.au/australiancurriculuminnsw/resources</w:t>
              </w:r>
            </w:hyperlink>
          </w:p>
        </w:tc>
      </w:tr>
      <w:tr w:rsidR="00686196" w:rsidTr="009608EB">
        <w:trPr>
          <w:trHeight w:val="1676"/>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Pr="00C9174A" w:rsidRDefault="00686196" w:rsidP="00C9174A">
            <w:pPr>
              <w:jc w:val="center"/>
              <w:rPr>
                <w:b w:val="0"/>
                <w:bCs w:val="0"/>
                <w:sz w:val="34"/>
                <w:szCs w:val="24"/>
              </w:rPr>
            </w:pPr>
            <w:r w:rsidRPr="00C9174A">
              <w:rPr>
                <w:sz w:val="34"/>
                <w:szCs w:val="24"/>
              </w:rPr>
              <w:t>SCAN</w:t>
            </w:r>
          </w:p>
        </w:tc>
        <w:tc>
          <w:tcPr>
            <w:tcW w:w="4313" w:type="dxa"/>
            <w:vAlign w:val="center"/>
          </w:tcPr>
          <w:p w:rsidR="00686196" w:rsidRPr="009608EB" w:rsidRDefault="00686196" w:rsidP="009608EB">
            <w:pPr>
              <w:cnfStyle w:val="000000000000" w:firstRow="0" w:lastRow="0" w:firstColumn="0" w:lastColumn="0" w:oddVBand="0" w:evenVBand="0" w:oddHBand="0" w:evenHBand="0" w:firstRowFirstColumn="0" w:firstRowLastColumn="0" w:lastRowFirstColumn="0" w:lastRowLastColumn="0"/>
              <w:rPr>
                <w:sz w:val="24"/>
                <w:szCs w:val="24"/>
              </w:rPr>
            </w:pPr>
            <w:r w:rsidRPr="009608EB">
              <w:rPr>
                <w:sz w:val="24"/>
                <w:szCs w:val="24"/>
                <w:lang w:val="en-US"/>
              </w:rPr>
              <w:t>Learning Systems, Public Schools NSW produce SCAN – a leading interactive, online publication that provides innovative and high quality professional learning for teachers.</w:t>
            </w:r>
          </w:p>
        </w:tc>
        <w:tc>
          <w:tcPr>
            <w:tcW w:w="8505" w:type="dxa"/>
            <w:vAlign w:val="center"/>
          </w:tcPr>
          <w:p w:rsidR="00686196" w:rsidRPr="009608EB" w:rsidRDefault="008C656A"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hyperlink r:id="rId23" w:history="1">
              <w:r w:rsidR="00686196" w:rsidRPr="009608EB">
                <w:rPr>
                  <w:rStyle w:val="Hyperlink"/>
                  <w:b/>
                  <w:color w:val="000000" w:themeColor="text1"/>
                  <w:sz w:val="24"/>
                  <w:szCs w:val="24"/>
                </w:rPr>
                <w:t>http://scan.nsw.edu.au/</w:t>
              </w:r>
            </w:hyperlink>
          </w:p>
        </w:tc>
      </w:tr>
      <w:tr w:rsidR="00686196" w:rsidTr="002F1EDE">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Pr="00C9174A" w:rsidRDefault="00686196" w:rsidP="00C9174A">
            <w:pPr>
              <w:jc w:val="center"/>
              <w:rPr>
                <w:b w:val="0"/>
                <w:bCs w:val="0"/>
                <w:sz w:val="34"/>
                <w:szCs w:val="24"/>
              </w:rPr>
            </w:pPr>
            <w:r w:rsidRPr="00C9174A">
              <w:rPr>
                <w:sz w:val="34"/>
                <w:szCs w:val="24"/>
              </w:rPr>
              <w:t>What’s the Buzz</w:t>
            </w:r>
          </w:p>
        </w:tc>
        <w:tc>
          <w:tcPr>
            <w:tcW w:w="4313" w:type="dxa"/>
            <w:vAlign w:val="center"/>
          </w:tcPr>
          <w:p w:rsidR="00686196" w:rsidRPr="009608EB" w:rsidRDefault="00686196" w:rsidP="009608EB">
            <w:pPr>
              <w:cnfStyle w:val="000000100000" w:firstRow="0" w:lastRow="0" w:firstColumn="0" w:lastColumn="0" w:oddVBand="0" w:evenVBand="0" w:oddHBand="1" w:evenHBand="0" w:firstRowFirstColumn="0" w:firstRowLastColumn="0" w:lastRowFirstColumn="0" w:lastRowLastColumn="0"/>
              <w:rPr>
                <w:sz w:val="24"/>
                <w:szCs w:val="24"/>
              </w:rPr>
            </w:pPr>
            <w:r w:rsidRPr="009608EB">
              <w:rPr>
                <w:sz w:val="24"/>
                <w:szCs w:val="24"/>
              </w:rPr>
              <w:t>Get the buzz on what's new in the department.</w:t>
            </w:r>
          </w:p>
        </w:tc>
        <w:tc>
          <w:tcPr>
            <w:tcW w:w="8505" w:type="dxa"/>
            <w:vAlign w:val="center"/>
          </w:tcPr>
          <w:p w:rsidR="00686196" w:rsidRPr="009608EB" w:rsidRDefault="008C656A" w:rsidP="009608EB">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hyperlink r:id="rId24" w:history="1">
              <w:r w:rsidR="00686196" w:rsidRPr="009608EB">
                <w:rPr>
                  <w:rStyle w:val="Hyperlink"/>
                  <w:b/>
                  <w:color w:val="000000" w:themeColor="text1"/>
                  <w:sz w:val="24"/>
                  <w:szCs w:val="24"/>
                </w:rPr>
                <w:t>https://detwww.det.nsw.edu.au/newsbuzz/yr2014/jul/index.htm</w:t>
              </w:r>
            </w:hyperlink>
          </w:p>
        </w:tc>
      </w:tr>
      <w:tr w:rsidR="00686196" w:rsidTr="002F1EDE">
        <w:trPr>
          <w:trHeight w:val="2539"/>
        </w:trPr>
        <w:tc>
          <w:tcPr>
            <w:cnfStyle w:val="001000000000" w:firstRow="0" w:lastRow="0" w:firstColumn="1" w:lastColumn="0" w:oddVBand="0" w:evenVBand="0" w:oddHBand="0" w:evenHBand="0" w:firstRowFirstColumn="0" w:firstRowLastColumn="0" w:lastRowFirstColumn="0" w:lastRowLastColumn="0"/>
            <w:tcW w:w="2883" w:type="dxa"/>
            <w:vAlign w:val="center"/>
          </w:tcPr>
          <w:p w:rsidR="00686196" w:rsidRPr="00C9174A" w:rsidRDefault="00C9174A" w:rsidP="00C9174A">
            <w:pPr>
              <w:jc w:val="center"/>
              <w:rPr>
                <w:b w:val="0"/>
                <w:bCs w:val="0"/>
                <w:sz w:val="34"/>
                <w:szCs w:val="24"/>
              </w:rPr>
            </w:pPr>
            <w:r>
              <w:rPr>
                <w:sz w:val="34"/>
                <w:szCs w:val="24"/>
              </w:rPr>
              <w:t>T4L News for S</w:t>
            </w:r>
            <w:r w:rsidR="00686196" w:rsidRPr="00C9174A">
              <w:rPr>
                <w:sz w:val="34"/>
                <w:szCs w:val="24"/>
              </w:rPr>
              <w:t>chools</w:t>
            </w:r>
          </w:p>
        </w:tc>
        <w:tc>
          <w:tcPr>
            <w:tcW w:w="4313" w:type="dxa"/>
            <w:vAlign w:val="center"/>
          </w:tcPr>
          <w:p w:rsidR="00686196" w:rsidRPr="009608EB" w:rsidRDefault="00686196" w:rsidP="009608E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08EB">
              <w:rPr>
                <w:rFonts w:asciiTheme="minorHAnsi" w:hAnsiTheme="minorHAnsi"/>
                <w:bCs/>
              </w:rPr>
              <w:t>This</w:t>
            </w:r>
            <w:r w:rsidRPr="009608EB">
              <w:rPr>
                <w:rFonts w:asciiTheme="minorHAnsi" w:hAnsiTheme="minorHAnsi"/>
                <w:b/>
                <w:bCs/>
              </w:rPr>
              <w:t xml:space="preserve"> </w:t>
            </w:r>
            <w:r w:rsidRPr="009608EB">
              <w:rPr>
                <w:rFonts w:asciiTheme="minorHAnsi" w:hAnsiTheme="minorHAnsi"/>
              </w:rPr>
              <w:t xml:space="preserve">is the new way DEC will be delivering easy to read articles about </w:t>
            </w:r>
            <w:r w:rsidRPr="009608EB">
              <w:rPr>
                <w:rFonts w:asciiTheme="minorHAnsi" w:hAnsiTheme="minorHAnsi"/>
                <w:i/>
                <w:iCs/>
              </w:rPr>
              <w:t xml:space="preserve">robust networking &amp; server platforms, desktop and cloud software as well as ICT service and support </w:t>
            </w:r>
            <w:r w:rsidRPr="009608EB">
              <w:rPr>
                <w:rFonts w:asciiTheme="minorHAnsi" w:hAnsiTheme="minorHAnsi"/>
              </w:rPr>
              <w:t xml:space="preserve">to schools in NSW. The newsletter will be delivered </w:t>
            </w:r>
            <w:r w:rsidRPr="009608EB">
              <w:rPr>
                <w:rFonts w:asciiTheme="minorHAnsi" w:hAnsiTheme="minorHAnsi"/>
                <w:bCs/>
              </w:rPr>
              <w:t>three times a term</w:t>
            </w:r>
            <w:r w:rsidRPr="009608EB">
              <w:rPr>
                <w:rFonts w:asciiTheme="minorHAnsi" w:hAnsiTheme="minorHAnsi"/>
              </w:rPr>
              <w:t xml:space="preserve">. </w:t>
            </w:r>
          </w:p>
        </w:tc>
        <w:tc>
          <w:tcPr>
            <w:tcW w:w="8505" w:type="dxa"/>
            <w:vAlign w:val="center"/>
          </w:tcPr>
          <w:p w:rsidR="00686196" w:rsidRPr="009608EB" w:rsidRDefault="008C656A" w:rsidP="009608EB">
            <w:pPr>
              <w:cnfStyle w:val="000000000000" w:firstRow="0" w:lastRow="0" w:firstColumn="0" w:lastColumn="0" w:oddVBand="0" w:evenVBand="0" w:oddHBand="0" w:evenHBand="0" w:firstRowFirstColumn="0" w:firstRowLastColumn="0" w:lastRowFirstColumn="0" w:lastRowLastColumn="0"/>
              <w:rPr>
                <w:b/>
                <w:color w:val="000000" w:themeColor="text1"/>
                <w:sz w:val="24"/>
                <w:szCs w:val="24"/>
                <w:u w:val="single"/>
              </w:rPr>
            </w:pPr>
            <w:hyperlink r:id="rId25" w:history="1">
              <w:r w:rsidR="00686196" w:rsidRPr="009608EB">
                <w:rPr>
                  <w:rStyle w:val="Hyperlink"/>
                  <w:b/>
                  <w:color w:val="000000" w:themeColor="text1"/>
                  <w:sz w:val="24"/>
                  <w:szCs w:val="24"/>
                </w:rPr>
                <w:t>https://detwww.det.nsw.edu.au/it/t4l/t4l_projects/news/01T4LNews.pdf</w:t>
              </w:r>
            </w:hyperlink>
          </w:p>
        </w:tc>
      </w:tr>
    </w:tbl>
    <w:p w:rsidR="00182FC9" w:rsidRDefault="00182FC9" w:rsidP="00182FC9"/>
    <w:sectPr w:rsidR="00182FC9" w:rsidSect="009608EB">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6507"/>
    <w:multiLevelType w:val="multilevel"/>
    <w:tmpl w:val="10E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9E"/>
    <w:rsid w:val="00063ABF"/>
    <w:rsid w:val="00182FC9"/>
    <w:rsid w:val="002B1FF8"/>
    <w:rsid w:val="002F1EDE"/>
    <w:rsid w:val="003435EE"/>
    <w:rsid w:val="004E5BAF"/>
    <w:rsid w:val="005424DC"/>
    <w:rsid w:val="00636861"/>
    <w:rsid w:val="00686196"/>
    <w:rsid w:val="00831F12"/>
    <w:rsid w:val="008C656A"/>
    <w:rsid w:val="009608EB"/>
    <w:rsid w:val="00A3129E"/>
    <w:rsid w:val="00C12C8A"/>
    <w:rsid w:val="00C9174A"/>
    <w:rsid w:val="00D1248A"/>
    <w:rsid w:val="00EC2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063A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63A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063A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63ABF"/>
    <w:rPr>
      <w:color w:val="0000FF"/>
      <w:u w:val="single"/>
    </w:rPr>
  </w:style>
  <w:style w:type="character" w:styleId="FollowedHyperlink">
    <w:name w:val="FollowedHyperlink"/>
    <w:basedOn w:val="DefaultParagraphFont"/>
    <w:uiPriority w:val="99"/>
    <w:semiHidden/>
    <w:unhideWhenUsed/>
    <w:rsid w:val="00636861"/>
    <w:rPr>
      <w:color w:val="800080" w:themeColor="followedHyperlink"/>
      <w:u w:val="single"/>
    </w:rPr>
  </w:style>
  <w:style w:type="paragraph" w:customStyle="1" w:styleId="Default">
    <w:name w:val="Default"/>
    <w:rsid w:val="006861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435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1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063A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63A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063A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63ABF"/>
    <w:rPr>
      <w:color w:val="0000FF"/>
      <w:u w:val="single"/>
    </w:rPr>
  </w:style>
  <w:style w:type="character" w:styleId="FollowedHyperlink">
    <w:name w:val="FollowedHyperlink"/>
    <w:basedOn w:val="DefaultParagraphFont"/>
    <w:uiPriority w:val="99"/>
    <w:semiHidden/>
    <w:unhideWhenUsed/>
    <w:rsid w:val="00636861"/>
    <w:rPr>
      <w:color w:val="800080" w:themeColor="followedHyperlink"/>
      <w:u w:val="single"/>
    </w:rPr>
  </w:style>
  <w:style w:type="paragraph" w:customStyle="1" w:styleId="Default">
    <w:name w:val="Default"/>
    <w:rsid w:val="006861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435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18079">
      <w:bodyDiv w:val="1"/>
      <w:marLeft w:val="90"/>
      <w:marRight w:val="0"/>
      <w:marTop w:val="0"/>
      <w:marBottom w:val="720"/>
      <w:divBdr>
        <w:top w:val="none" w:sz="0" w:space="0" w:color="auto"/>
        <w:left w:val="none" w:sz="0" w:space="0" w:color="auto"/>
        <w:bottom w:val="none" w:sz="0" w:space="0" w:color="auto"/>
        <w:right w:val="none" w:sz="0" w:space="0" w:color="auto"/>
      </w:divBdr>
      <w:divsChild>
        <w:div w:id="1806266399">
          <w:marLeft w:val="0"/>
          <w:marRight w:val="0"/>
          <w:marTop w:val="0"/>
          <w:marBottom w:val="0"/>
          <w:divBdr>
            <w:top w:val="none" w:sz="0" w:space="0" w:color="auto"/>
            <w:left w:val="none" w:sz="0" w:space="0" w:color="auto"/>
            <w:bottom w:val="none" w:sz="0" w:space="0" w:color="auto"/>
            <w:right w:val="none" w:sz="0" w:space="0" w:color="auto"/>
          </w:divBdr>
          <w:divsChild>
            <w:div w:id="954602740">
              <w:marLeft w:val="105"/>
              <w:marRight w:val="0"/>
              <w:marTop w:val="0"/>
              <w:marBottom w:val="0"/>
              <w:divBdr>
                <w:top w:val="none" w:sz="0" w:space="0" w:color="auto"/>
                <w:left w:val="none" w:sz="0" w:space="0" w:color="auto"/>
                <w:bottom w:val="none" w:sz="0" w:space="0" w:color="auto"/>
                <w:right w:val="none" w:sz="0" w:space="0" w:color="auto"/>
              </w:divBdr>
              <w:divsChild>
                <w:div w:id="95625160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gt.nsw.edu.au/" TargetMode="External"/><Relationship Id="rId13" Type="http://schemas.openxmlformats.org/officeDocument/2006/relationships/hyperlink" Target="http://lrr.cli.det.nsw.edu.au/LRRView/14507/index.htm" TargetMode="External"/><Relationship Id="rId18" Type="http://schemas.openxmlformats.org/officeDocument/2006/relationships/hyperlink" Target="https://detwww.det.nsw.edu.au/publicschoolsnsw/teaching-and-learn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etwww.det.nsw.edu.au/communication-and-engagement/schoolbiz" TargetMode="External"/><Relationship Id="rId7" Type="http://schemas.openxmlformats.org/officeDocument/2006/relationships/hyperlink" Target="https://detwww.det.nsw.edu.au/ctp/index.htm" TargetMode="External"/><Relationship Id="rId12" Type="http://schemas.openxmlformats.org/officeDocument/2006/relationships/hyperlink" Target="https://detwww.det.nsw.edu.au/australiancurriculuminnsw/professional-learning/curriculum" TargetMode="External"/><Relationship Id="rId17" Type="http://schemas.openxmlformats.org/officeDocument/2006/relationships/hyperlink" Target="http://www.curriculumsupport.education.nsw.gov.au/schoollibraries/" TargetMode="External"/><Relationship Id="rId25" Type="http://schemas.openxmlformats.org/officeDocument/2006/relationships/hyperlink" Target="https://detwww.det.nsw.edu.au/it/t4l/t4l_projects/news/01T4LNews.pdf" TargetMode="External"/><Relationship Id="rId2" Type="http://schemas.openxmlformats.org/officeDocument/2006/relationships/styles" Target="styles.xml"/><Relationship Id="rId16" Type="http://schemas.openxmlformats.org/officeDocument/2006/relationships/hyperlink" Target="http://numeracycontinuum.com/" TargetMode="External"/><Relationship Id="rId20" Type="http://schemas.openxmlformats.org/officeDocument/2006/relationships/hyperlink" Target="http://www.aitsl.edu.au/australian-professional-standards-for-teachers/resources/unpacking-the-standards" TargetMode="External"/><Relationship Id="rId1" Type="http://schemas.openxmlformats.org/officeDocument/2006/relationships/numbering" Target="numbering.xml"/><Relationship Id="rId6" Type="http://schemas.openxmlformats.org/officeDocument/2006/relationships/hyperlink" Target="https://detwww.det.nsw.edu.au/lhpa" TargetMode="External"/><Relationship Id="rId11" Type="http://schemas.openxmlformats.org/officeDocument/2006/relationships/hyperlink" Target="http://www.boardofstudies.nsw.edu.au/" TargetMode="External"/><Relationship Id="rId24" Type="http://schemas.openxmlformats.org/officeDocument/2006/relationships/hyperlink" Target="https://detwww.det.nsw.edu.au/newsbuzz/yr2014/jul/index.htm" TargetMode="External"/><Relationship Id="rId5" Type="http://schemas.openxmlformats.org/officeDocument/2006/relationships/webSettings" Target="webSettings.xml"/><Relationship Id="rId15" Type="http://schemas.openxmlformats.org/officeDocument/2006/relationships/hyperlink" Target="http://www.literacy-continuum.det.nsw.edu.au/Matrix" TargetMode="External"/><Relationship Id="rId23" Type="http://schemas.openxmlformats.org/officeDocument/2006/relationships/hyperlink" Target="http://scan.nsw.edu.au/" TargetMode="External"/><Relationship Id="rId10" Type="http://schemas.openxmlformats.org/officeDocument/2006/relationships/hyperlink" Target="http://www.nswteachers.nsw.edu.au" TargetMode="External"/><Relationship Id="rId19" Type="http://schemas.openxmlformats.org/officeDocument/2006/relationships/hyperlink" Target="http://www.curriculumsupport.education.nsw.gov.au/policies/gats/index.htm" TargetMode="External"/><Relationship Id="rId4" Type="http://schemas.openxmlformats.org/officeDocument/2006/relationships/settings" Target="settings.xml"/><Relationship Id="rId9" Type="http://schemas.openxmlformats.org/officeDocument/2006/relationships/hyperlink" Target="http://www.aitsl.edu.au/docs/default-source/default-document-library/australian_charter_for_the_professional_learning_of_teachers_and_school_leaders" TargetMode="External"/><Relationship Id="rId14" Type="http://schemas.openxmlformats.org/officeDocument/2006/relationships/hyperlink" Target="http://www.curriculumsupport.education.nsw.gov.au/literacy/" TargetMode="External"/><Relationship Id="rId22" Type="http://schemas.openxmlformats.org/officeDocument/2006/relationships/hyperlink" Target="https://detwww.det.nsw.edu.au/australiancurriculuminnsw/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McMahon</dc:creator>
  <cp:lastModifiedBy>Krystal Bevin</cp:lastModifiedBy>
  <cp:revision>4</cp:revision>
  <dcterms:created xsi:type="dcterms:W3CDTF">2015-08-04T23:49:00Z</dcterms:created>
  <dcterms:modified xsi:type="dcterms:W3CDTF">2015-09-02T05:15:00Z</dcterms:modified>
</cp:coreProperties>
</file>